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CBF9" w14:textId="7291F036" w:rsidR="00861A72" w:rsidRDefault="00861A72" w:rsidP="00E37499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32"/>
          <w:szCs w:val="32"/>
        </w:rPr>
      </w:pPr>
      <w:r w:rsidRPr="00E2304B">
        <w:rPr>
          <w:rFonts w:ascii="Verdana" w:hAnsi="Verdana"/>
          <w:b/>
          <w:bCs/>
          <w:sz w:val="32"/>
          <w:szCs w:val="32"/>
        </w:rPr>
        <w:t>Ustawa o asystencji osobistej osób z niepełnosprawnościami – ważne uwagi</w:t>
      </w:r>
      <w:r w:rsidR="00011BB5">
        <w:rPr>
          <w:rFonts w:ascii="Verdana" w:hAnsi="Verdana"/>
          <w:b/>
          <w:bCs/>
          <w:sz w:val="32"/>
          <w:szCs w:val="32"/>
        </w:rPr>
        <w:br/>
      </w:r>
      <w:r w:rsidR="00011BB5" w:rsidRPr="00011BB5">
        <w:rPr>
          <w:rFonts w:ascii="Verdana" w:hAnsi="Verdana"/>
        </w:rPr>
        <w:t>wersja 0</w:t>
      </w:r>
      <w:r w:rsidR="00391A86">
        <w:rPr>
          <w:rFonts w:ascii="Verdana" w:hAnsi="Verdana"/>
        </w:rPr>
        <w:t>6</w:t>
      </w:r>
      <w:r w:rsidR="00011BB5" w:rsidRPr="00011BB5">
        <w:rPr>
          <w:rFonts w:ascii="Verdana" w:hAnsi="Verdana"/>
        </w:rPr>
        <w:t>.05.2025</w:t>
      </w:r>
    </w:p>
    <w:p w14:paraId="49FCCC39" w14:textId="77777777" w:rsidR="002B44BA" w:rsidRPr="008657FA" w:rsidRDefault="002B44BA" w:rsidP="00E37499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10"/>
          <w:szCs w:val="10"/>
        </w:rPr>
      </w:pPr>
    </w:p>
    <w:p w14:paraId="02338C77" w14:textId="77777777" w:rsidR="00861A72" w:rsidRPr="00566529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566529">
        <w:rPr>
          <w:rFonts w:ascii="Verdana" w:hAnsi="Verdana"/>
          <w:b/>
          <w:bCs/>
          <w:sz w:val="24"/>
          <w:szCs w:val="24"/>
        </w:rPr>
        <w:t xml:space="preserve">Czym jest </w:t>
      </w:r>
      <w:r w:rsidRPr="00CB3935">
        <w:rPr>
          <w:rFonts w:ascii="Verdana" w:hAnsi="Verdana"/>
          <w:b/>
          <w:bCs/>
          <w:i/>
          <w:iCs/>
          <w:sz w:val="24"/>
          <w:szCs w:val="24"/>
        </w:rPr>
        <w:t>asystencja osobista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E0C44">
        <w:rPr>
          <w:rFonts w:ascii="Verdana" w:hAnsi="Verdana"/>
          <w:b/>
          <w:bCs/>
          <w:sz w:val="24"/>
          <w:szCs w:val="24"/>
        </w:rPr>
        <w:t>osób z niepełnosprawnościami</w:t>
      </w:r>
      <w:r w:rsidRPr="003E0C44">
        <w:rPr>
          <w:rFonts w:ascii="Verdana" w:hAnsi="Verdana"/>
          <w:sz w:val="24"/>
          <w:szCs w:val="24"/>
        </w:rPr>
        <w:t xml:space="preserve"> (AOON)</w:t>
      </w:r>
      <w:r w:rsidRPr="003E0C44">
        <w:rPr>
          <w:rFonts w:ascii="Verdana" w:hAnsi="Verdana"/>
          <w:b/>
          <w:bCs/>
          <w:sz w:val="24"/>
          <w:szCs w:val="24"/>
        </w:rPr>
        <w:t>?</w:t>
      </w:r>
    </w:p>
    <w:p w14:paraId="0EA057F9" w14:textId="20140D90" w:rsidR="00861A72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16137F">
        <w:rPr>
          <w:rFonts w:ascii="Verdana" w:hAnsi="Verdana"/>
        </w:rPr>
        <w:t>Asystencja osobista</w:t>
      </w:r>
      <w:r>
        <w:rPr>
          <w:rFonts w:ascii="Verdana" w:hAnsi="Verdana"/>
        </w:rPr>
        <w:t xml:space="preserve"> </w:t>
      </w:r>
      <w:r w:rsidRPr="0016137F">
        <w:rPr>
          <w:rFonts w:ascii="Verdana" w:hAnsi="Verdana"/>
        </w:rPr>
        <w:t xml:space="preserve">to najważniejsza usługa </w:t>
      </w:r>
      <w:r>
        <w:rPr>
          <w:rFonts w:ascii="Verdana" w:hAnsi="Verdana"/>
        </w:rPr>
        <w:t xml:space="preserve">wsparcia </w:t>
      </w:r>
      <w:r w:rsidRPr="0016137F">
        <w:rPr>
          <w:rFonts w:ascii="Verdana" w:hAnsi="Verdana"/>
        </w:rPr>
        <w:t>dla osób z niepełnosprawnościami. Dzięki AOON osoby z niepełnosprawnościami</w:t>
      </w:r>
      <w:r>
        <w:rPr>
          <w:rFonts w:ascii="Verdana" w:hAnsi="Verdana"/>
        </w:rPr>
        <w:t xml:space="preserve">, szczególnie te które wymagają </w:t>
      </w:r>
      <w:r w:rsidR="00FA7E29">
        <w:rPr>
          <w:rFonts w:ascii="Verdana" w:hAnsi="Verdana"/>
        </w:rPr>
        <w:t>bardzo intensywnego wsparcia</w:t>
      </w:r>
      <w:r>
        <w:rPr>
          <w:rFonts w:ascii="Verdana" w:hAnsi="Verdana"/>
        </w:rPr>
        <w:t>,</w:t>
      </w:r>
      <w:r w:rsidRPr="0016137F">
        <w:rPr>
          <w:rFonts w:ascii="Verdana" w:hAnsi="Verdana"/>
        </w:rPr>
        <w:t xml:space="preserve"> mają szansę na niezależne życie</w:t>
      </w:r>
      <w:r>
        <w:rPr>
          <w:rFonts w:ascii="Verdana" w:hAnsi="Verdana"/>
        </w:rPr>
        <w:t>.</w:t>
      </w:r>
    </w:p>
    <w:p w14:paraId="385B9B6A" w14:textId="77777777" w:rsidR="00861A72" w:rsidRPr="00FD2C55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FD2C55">
        <w:rPr>
          <w:rFonts w:ascii="Verdana" w:hAnsi="Verdana"/>
          <w:b/>
          <w:bCs/>
          <w:sz w:val="24"/>
          <w:szCs w:val="24"/>
        </w:rPr>
        <w:t xml:space="preserve">Co </w:t>
      </w:r>
      <w:r w:rsidRPr="00A53EA2">
        <w:rPr>
          <w:rFonts w:ascii="Verdana" w:hAnsi="Verdana"/>
          <w:b/>
          <w:bCs/>
          <w:sz w:val="24"/>
          <w:szCs w:val="24"/>
        </w:rPr>
        <w:t>obejmuje asystencja osobista?</w:t>
      </w:r>
    </w:p>
    <w:p w14:paraId="2D660594" w14:textId="77777777" w:rsidR="00861A72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937109">
        <w:rPr>
          <w:rFonts w:ascii="Verdana" w:hAnsi="Verdana"/>
        </w:rPr>
        <w:t>Asystencja osobista to wspieranie w codziennych czynnościach, których osoba nie może wykonać samodzielnie, np. ubieranie się, czynności pielęgnacyjne, wyjście z domu, przemieszczanie się po mieście, podawanie leków, robienie zakupów, utrzymywanie relacji ze znajomymi, wykonywanie pracy zawodowej.</w:t>
      </w:r>
      <w:r>
        <w:rPr>
          <w:rFonts w:ascii="Verdana" w:hAnsi="Verdana"/>
        </w:rPr>
        <w:br/>
      </w:r>
      <w:r w:rsidRPr="00F51622">
        <w:rPr>
          <w:rFonts w:ascii="Verdana" w:hAnsi="Verdana"/>
        </w:rPr>
        <w:t>Asystent osobisty nie jest opiekunem, członkiem rodziny, ani wolontariuszem.</w:t>
      </w:r>
    </w:p>
    <w:p w14:paraId="3DF0D0F6" w14:textId="77777777" w:rsidR="00861A72" w:rsidRPr="00566529" w:rsidRDefault="00861A72" w:rsidP="00E37499">
      <w:pPr>
        <w:spacing w:beforeLines="60" w:before="144" w:afterLines="60" w:after="144" w:line="276" w:lineRule="auto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Jak jest realizowana aktualnie?</w:t>
      </w:r>
    </w:p>
    <w:p w14:paraId="5A8D512C" w14:textId="77777777" w:rsidR="00861A72" w:rsidRPr="002C1271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FD2C55">
        <w:rPr>
          <w:rFonts w:ascii="Verdana" w:hAnsi="Verdana"/>
        </w:rPr>
        <w:t>Asystencja osobista jest realizowana obecnie w programie rządowym, finansowana z Funduszu Solidarnościowego, w trybie rocznych programów</w:t>
      </w:r>
      <w:r>
        <w:rPr>
          <w:rFonts w:ascii="Verdana" w:hAnsi="Verdana"/>
        </w:rPr>
        <w:t xml:space="preserve">. </w:t>
      </w:r>
      <w:r w:rsidRPr="00AC73C0">
        <w:rPr>
          <w:rFonts w:ascii="Verdana" w:hAnsi="Verdana"/>
          <w:b/>
          <w:bCs/>
        </w:rPr>
        <w:t>Oznacza to brak ciągłości wsparcia, ograniczony dostęp i różną jakość usługi.</w:t>
      </w:r>
    </w:p>
    <w:p w14:paraId="7A6FDCB9" w14:textId="77777777" w:rsidR="00861A72" w:rsidRPr="00CE1EEC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CE1EEC">
        <w:rPr>
          <w:rFonts w:ascii="Verdana" w:hAnsi="Verdana"/>
          <w:b/>
          <w:bCs/>
          <w:sz w:val="24"/>
          <w:szCs w:val="24"/>
        </w:rPr>
        <w:t xml:space="preserve">Czym jest </w:t>
      </w:r>
      <w:r>
        <w:rPr>
          <w:rFonts w:ascii="Verdana" w:hAnsi="Verdana"/>
          <w:b/>
          <w:bCs/>
          <w:sz w:val="24"/>
          <w:szCs w:val="24"/>
        </w:rPr>
        <w:t>prezydencki projekt ustawy</w:t>
      </w:r>
      <w:r w:rsidR="002C1271">
        <w:rPr>
          <w:rFonts w:ascii="Verdana" w:hAnsi="Verdana"/>
          <w:b/>
          <w:bCs/>
          <w:sz w:val="24"/>
          <w:szCs w:val="24"/>
        </w:rPr>
        <w:t xml:space="preserve"> o asystencji osobistej</w:t>
      </w:r>
      <w:r>
        <w:rPr>
          <w:rFonts w:ascii="Verdana" w:hAnsi="Verdana"/>
          <w:b/>
          <w:bCs/>
          <w:sz w:val="24"/>
          <w:szCs w:val="24"/>
        </w:rPr>
        <w:t>?</w:t>
      </w:r>
    </w:p>
    <w:p w14:paraId="307399F2" w14:textId="7D746004" w:rsidR="00B709DA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0B7F7D">
        <w:rPr>
          <w:rFonts w:ascii="Verdana" w:hAnsi="Verdana"/>
        </w:rPr>
        <w:t>Kancelaria Prezydenta RP przygotowywała projekt ustawy o asystencji osobistej od 2022 r</w:t>
      </w:r>
      <w:r>
        <w:rPr>
          <w:rFonts w:ascii="Verdana" w:hAnsi="Verdana"/>
        </w:rPr>
        <w:t xml:space="preserve">., jednak </w:t>
      </w:r>
      <w:r w:rsidR="004174D0">
        <w:rPr>
          <w:rFonts w:ascii="Verdana" w:hAnsi="Verdana"/>
        </w:rPr>
        <w:t xml:space="preserve">sam </w:t>
      </w:r>
      <w:r>
        <w:rPr>
          <w:rFonts w:ascii="Verdana" w:hAnsi="Verdana"/>
        </w:rPr>
        <w:t>projekt</w:t>
      </w:r>
      <w:r w:rsidR="00A36CDD">
        <w:rPr>
          <w:rFonts w:ascii="Verdana" w:hAnsi="Verdana"/>
        </w:rPr>
        <w:t xml:space="preserve"> ustawy</w:t>
      </w:r>
      <w:r>
        <w:rPr>
          <w:rFonts w:ascii="Verdana" w:hAnsi="Verdana"/>
        </w:rPr>
        <w:t xml:space="preserve"> pisała bez udziału osób z niepełnosprawnościami - użytkowników asystencji osobistej oraz praktyków asystencji osobistej.</w:t>
      </w:r>
    </w:p>
    <w:p w14:paraId="5DE5B2C0" w14:textId="1579CD07" w:rsidR="00B709DA" w:rsidRDefault="1D30DC7A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1D30DC7A">
        <w:rPr>
          <w:rFonts w:ascii="Verdana" w:hAnsi="Verdana"/>
        </w:rPr>
        <w:t>Gdy po 700 dniach opóźnienia Kancelaria złożyła do Sejmu swój projekt – okazał się on niezgodny z art. 19 Konwencji ONZ o prawach osób z niepełnosprawnościami, Standardem Asystencji Osobistej oraz nie uwzględniał większości uwag i postulatów środowiska osób z niepełnosprawnościami oraz Rzecznika Praw Obywatelskich.</w:t>
      </w:r>
    </w:p>
    <w:p w14:paraId="381988E0" w14:textId="2F810F4B" w:rsidR="00B4300D" w:rsidRPr="00B01A71" w:rsidRDefault="00B4300D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Podobnie niestety </w:t>
      </w:r>
      <w:r w:rsidR="008D0B23">
        <w:rPr>
          <w:rFonts w:ascii="Verdana" w:hAnsi="Verdana"/>
        </w:rPr>
        <w:t>radykalna</w:t>
      </w:r>
      <w:r w:rsidR="00B6660A">
        <w:rPr>
          <w:rFonts w:ascii="Verdana" w:hAnsi="Verdana"/>
        </w:rPr>
        <w:t xml:space="preserve"> większość uwag</w:t>
      </w:r>
      <w:r w:rsidR="004174D0">
        <w:rPr>
          <w:rFonts w:ascii="Verdana" w:hAnsi="Verdana"/>
        </w:rPr>
        <w:t xml:space="preserve"> zgłoszonych w ramach konsultacji publicznych</w:t>
      </w:r>
      <w:r w:rsidR="008657FA">
        <w:rPr>
          <w:rFonts w:ascii="Verdana" w:hAnsi="Verdana"/>
        </w:rPr>
        <w:t xml:space="preserve"> projektu prezydenckiego</w:t>
      </w:r>
      <w:r w:rsidR="00B6660A">
        <w:rPr>
          <w:rFonts w:ascii="Verdana" w:hAnsi="Verdana"/>
        </w:rPr>
        <w:t xml:space="preserve">, w tym niemal wszystkie </w:t>
      </w:r>
      <w:r w:rsidR="004174D0">
        <w:rPr>
          <w:rFonts w:ascii="Verdana" w:hAnsi="Verdana"/>
        </w:rPr>
        <w:t>wskazujące na konieczność znaczących zmian w projekcie</w:t>
      </w:r>
      <w:r w:rsidR="008657FA">
        <w:rPr>
          <w:rFonts w:ascii="Verdana" w:hAnsi="Verdana"/>
        </w:rPr>
        <w:t>,</w:t>
      </w:r>
      <w:r w:rsidR="004174D0">
        <w:rPr>
          <w:rFonts w:ascii="Verdana" w:hAnsi="Verdana"/>
        </w:rPr>
        <w:t xml:space="preserve"> </w:t>
      </w:r>
      <w:r w:rsidR="00B6660A">
        <w:rPr>
          <w:rFonts w:ascii="Verdana" w:hAnsi="Verdana"/>
        </w:rPr>
        <w:t xml:space="preserve"> została odrzucona.</w:t>
      </w:r>
    </w:p>
    <w:p w14:paraId="500767C9" w14:textId="77777777" w:rsidR="1D30DC7A" w:rsidRDefault="1D30DC7A" w:rsidP="00E37499">
      <w:pPr>
        <w:spacing w:beforeLines="60" w:before="144" w:afterLines="60" w:after="144" w:line="276" w:lineRule="auto"/>
      </w:pPr>
      <w:r w:rsidRPr="1D30DC7A">
        <w:rPr>
          <w:rFonts w:ascii="Verdana" w:hAnsi="Verdana"/>
          <w:b/>
          <w:bCs/>
          <w:sz w:val="24"/>
          <w:szCs w:val="24"/>
        </w:rPr>
        <w:t>Na bazie czego powstaje rządowy projekt Ustawy o asystencji osobistej?</w:t>
      </w:r>
    </w:p>
    <w:p w14:paraId="47256369" w14:textId="4D166AF1" w:rsidR="007656D9" w:rsidRDefault="007656D9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 w:rsidRPr="007656D9">
        <w:rPr>
          <w:rFonts w:ascii="Verdana" w:hAnsi="Verdana"/>
        </w:rPr>
        <w:t>Ministerstwo Rodziny, Pracy i Polityki Społecznej (</w:t>
      </w:r>
      <w:proofErr w:type="spellStart"/>
      <w:r w:rsidRPr="007656D9">
        <w:rPr>
          <w:rFonts w:ascii="Verdana" w:hAnsi="Verdana"/>
        </w:rPr>
        <w:t>MR</w:t>
      </w:r>
      <w:r w:rsidR="00C94F47">
        <w:rPr>
          <w:rFonts w:ascii="Verdana" w:hAnsi="Verdana"/>
        </w:rPr>
        <w:t>P</w:t>
      </w:r>
      <w:r w:rsidRPr="007656D9">
        <w:rPr>
          <w:rFonts w:ascii="Verdana" w:hAnsi="Verdana"/>
        </w:rPr>
        <w:t>iPS</w:t>
      </w:r>
      <w:proofErr w:type="spellEnd"/>
      <w:r w:rsidRPr="007656D9">
        <w:rPr>
          <w:rFonts w:ascii="Verdana" w:hAnsi="Verdana"/>
        </w:rPr>
        <w:t xml:space="preserve">) wraz z partnerami opracowało Standard Asystencji Osobistej, zgodny z Konwencją ONZ o prawach osób z niepełnosprawnościami. </w:t>
      </w:r>
    </w:p>
    <w:p w14:paraId="00638160" w14:textId="77777777" w:rsidR="007656D9" w:rsidRDefault="007656D9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 w:rsidRPr="007656D9">
        <w:rPr>
          <w:rFonts w:ascii="Verdana" w:hAnsi="Verdana"/>
        </w:rPr>
        <w:t xml:space="preserve">Standard został przetestowany w praktyce w latach 2022-2023 wobec osób ze wszystkimi rodzajami niepełnosprawności, w różnym wieku i z różnymi potrzebami wsparcia, które skorzystały z 100 237 godzin wsparcia (szczegóły np. na stronie </w:t>
      </w:r>
      <w:hyperlink r:id="rId7" w:history="1">
        <w:r w:rsidRPr="00EE6C9A">
          <w:rPr>
            <w:rStyle w:val="Hipercze"/>
            <w:rFonts w:ascii="Verdana" w:hAnsi="Verdana"/>
          </w:rPr>
          <w:t>www.psoni.org.pl/AOON</w:t>
        </w:r>
      </w:hyperlink>
      <w:r w:rsidRPr="007656D9">
        <w:rPr>
          <w:rFonts w:ascii="Verdana" w:hAnsi="Verdana"/>
        </w:rPr>
        <w:t>).</w:t>
      </w:r>
    </w:p>
    <w:p w14:paraId="66E51B19" w14:textId="271FB7A7" w:rsidR="009D3E37" w:rsidRDefault="00911AC1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Ww.</w:t>
      </w:r>
      <w:r w:rsidR="007656D9" w:rsidRPr="007656D9">
        <w:rPr>
          <w:rFonts w:ascii="Verdana" w:hAnsi="Verdana"/>
        </w:rPr>
        <w:t xml:space="preserve"> doświadczenia </w:t>
      </w:r>
      <w:r w:rsidR="00B242D5">
        <w:rPr>
          <w:rFonts w:ascii="Verdana" w:hAnsi="Verdana"/>
        </w:rPr>
        <w:t>zostały</w:t>
      </w:r>
      <w:r w:rsidR="007656D9" w:rsidRPr="007656D9">
        <w:rPr>
          <w:rFonts w:ascii="Verdana" w:hAnsi="Verdana"/>
        </w:rPr>
        <w:t xml:space="preserve"> wykorzystane przy rządowym projekcie Ustawy o asystencji osobistej, który </w:t>
      </w:r>
      <w:r w:rsidR="00B242D5">
        <w:rPr>
          <w:rFonts w:ascii="Verdana" w:hAnsi="Verdana"/>
        </w:rPr>
        <w:t>jest</w:t>
      </w:r>
      <w:r w:rsidR="007656D9" w:rsidRPr="007656D9">
        <w:rPr>
          <w:rFonts w:ascii="Verdana" w:hAnsi="Verdana"/>
        </w:rPr>
        <w:t xml:space="preserve"> oparty o Konwencję ONZ o prawach osób z niepełnosprawnościami, uwzględnia doświadczenia międzynarodowe oraz polskie i jest realny do wdrożenia w praktyce.</w:t>
      </w:r>
    </w:p>
    <w:p w14:paraId="3BE6FDCB" w14:textId="5296D5D6" w:rsidR="00CF11B2" w:rsidRPr="00911AC1" w:rsidRDefault="00911AC1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Ponadto w</w:t>
      </w:r>
      <w:r w:rsidR="008D0B23">
        <w:rPr>
          <w:rFonts w:ascii="Verdana" w:hAnsi="Verdana"/>
        </w:rPr>
        <w:t xml:space="preserve"> ramach konsultacji publicznych projektu rządowego </w:t>
      </w:r>
      <w:r>
        <w:rPr>
          <w:rFonts w:ascii="Verdana" w:hAnsi="Verdana"/>
        </w:rPr>
        <w:t xml:space="preserve">(stacjonarnych, online oraz hybrydowych) </w:t>
      </w:r>
      <w:r w:rsidR="008D0B23">
        <w:rPr>
          <w:rFonts w:ascii="Verdana" w:hAnsi="Verdana"/>
        </w:rPr>
        <w:t xml:space="preserve">uczestniczyło ponad 1000 osób, zaś spośród 1080 uwag zgłoszonych w samych konsultacjach publicznych </w:t>
      </w:r>
      <w:r w:rsidR="00C94F47">
        <w:rPr>
          <w:rFonts w:ascii="Verdana" w:hAnsi="Verdana"/>
        </w:rPr>
        <w:t>całościowo lub częściowo uwzględnionych zostało blisko 40%</w:t>
      </w:r>
      <w:r w:rsidR="00C00DC9">
        <w:rPr>
          <w:rFonts w:ascii="Verdana" w:hAnsi="Verdana"/>
        </w:rPr>
        <w:t>, co porównywalnie z innymi projektami stanowi niezwykle wysoki procent.</w:t>
      </w:r>
    </w:p>
    <w:tbl>
      <w:tblPr>
        <w:tblStyle w:val="Tabela-Siatka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CF11B2" w14:paraId="38BAF3A0" w14:textId="77777777" w:rsidTr="00C71851">
        <w:trPr>
          <w:trHeight w:val="992"/>
        </w:trPr>
        <w:tc>
          <w:tcPr>
            <w:tcW w:w="11335" w:type="dxa"/>
            <w:shd w:val="clear" w:color="auto" w:fill="ED7D31" w:themeFill="accent2"/>
            <w:vAlign w:val="center"/>
          </w:tcPr>
          <w:p w14:paraId="27A32479" w14:textId="77777777" w:rsidR="00CF11B2" w:rsidRPr="76E89206" w:rsidRDefault="00CF11B2" w:rsidP="00C71851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lastRenderedPageBreak/>
              <w:t>Kluczowe różnice</w:t>
            </w:r>
            <w:r w:rsidRPr="003E703D">
              <w:rPr>
                <w:rFonts w:ascii="Verdana" w:hAnsi="Verdana"/>
                <w:b/>
                <w:bCs/>
                <w:sz w:val="36"/>
                <w:szCs w:val="36"/>
              </w:rPr>
              <w:t xml:space="preserve"> projektów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br/>
              <w:t>us</w:t>
            </w: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t>taw</w:t>
            </w:r>
            <w:r w:rsidRPr="003E703D">
              <w:rPr>
                <w:rFonts w:ascii="Verdana" w:hAnsi="Verdana"/>
                <w:b/>
                <w:bCs/>
                <w:sz w:val="36"/>
                <w:szCs w:val="36"/>
              </w:rPr>
              <w:t xml:space="preserve"> o asystencji osobistej</w:t>
            </w:r>
            <w:r>
              <w:br/>
            </w: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t>osób z niepełnosprawnościami</w:t>
            </w:r>
          </w:p>
        </w:tc>
      </w:tr>
    </w:tbl>
    <w:p w14:paraId="22C35B78" w14:textId="60A08175" w:rsidR="1D30DC7A" w:rsidRPr="00CF11B2" w:rsidRDefault="1D30DC7A" w:rsidP="00CF11B2">
      <w:pPr>
        <w:spacing w:after="0" w:line="276" w:lineRule="auto"/>
        <w:contextualSpacing/>
        <w:rPr>
          <w:sz w:val="2"/>
          <w:szCs w:val="2"/>
        </w:rPr>
      </w:pPr>
    </w:p>
    <w:tbl>
      <w:tblPr>
        <w:tblStyle w:val="Tabela-Siatka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3260"/>
        <w:gridCol w:w="3969"/>
      </w:tblGrid>
      <w:tr w:rsidR="00F41DAF" w14:paraId="50A89354" w14:textId="06FEF4E2" w:rsidTr="004B7BAF">
        <w:trPr>
          <w:trHeight w:val="810"/>
          <w:tblHeader/>
        </w:trPr>
        <w:tc>
          <w:tcPr>
            <w:tcW w:w="1980" w:type="dxa"/>
            <w:shd w:val="clear" w:color="auto" w:fill="F4B083" w:themeFill="accent2" w:themeFillTint="99"/>
            <w:vAlign w:val="center"/>
          </w:tcPr>
          <w:p w14:paraId="1250DB23" w14:textId="5CCF8607" w:rsidR="00F41DAF" w:rsidRPr="002C36AA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</w:rPr>
            </w:pPr>
            <w:r w:rsidRPr="0B88094F">
              <w:rPr>
                <w:rFonts w:ascii="Verdana" w:hAnsi="Verdana"/>
                <w:b/>
              </w:rPr>
              <w:t>Obszar/</w:t>
            </w:r>
            <w:r w:rsidR="00767D2A">
              <w:rPr>
                <w:rFonts w:ascii="Verdana" w:hAnsi="Verdana"/>
                <w:b/>
              </w:rPr>
              <w:t xml:space="preserve"> </w:t>
            </w:r>
            <w:r w:rsidRPr="0B88094F">
              <w:rPr>
                <w:rFonts w:ascii="Verdana" w:hAnsi="Verdana"/>
                <w:b/>
              </w:rPr>
              <w:t>kwestia</w:t>
            </w:r>
          </w:p>
        </w:tc>
        <w:tc>
          <w:tcPr>
            <w:tcW w:w="1134" w:type="dxa"/>
            <w:shd w:val="clear" w:color="auto" w:fill="F4B083" w:themeFill="accent2" w:themeFillTint="99"/>
            <w:tcMar>
              <w:left w:w="0" w:type="dxa"/>
              <w:right w:w="0" w:type="dxa"/>
            </w:tcMar>
            <w:vAlign w:val="center"/>
          </w:tcPr>
          <w:p w14:paraId="42F390A0" w14:textId="77777777" w:rsidR="00F41DAF" w:rsidRPr="004110F1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11B2">
              <w:rPr>
                <w:rFonts w:ascii="Verdana" w:hAnsi="Verdana"/>
                <w:b/>
                <w:bCs/>
                <w:sz w:val="18"/>
                <w:szCs w:val="18"/>
              </w:rPr>
              <w:t>Ustawa prezydencka</w:t>
            </w:r>
          </w:p>
        </w:tc>
        <w:tc>
          <w:tcPr>
            <w:tcW w:w="992" w:type="dxa"/>
            <w:shd w:val="clear" w:color="auto" w:fill="F4B083" w:themeFill="accent2" w:themeFillTint="99"/>
            <w:tcMar>
              <w:left w:w="0" w:type="dxa"/>
              <w:right w:w="0" w:type="dxa"/>
            </w:tcMar>
            <w:vAlign w:val="center"/>
          </w:tcPr>
          <w:p w14:paraId="15002BD6" w14:textId="77777777" w:rsidR="00F41DAF" w:rsidRPr="004110F1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11B2">
              <w:rPr>
                <w:rFonts w:ascii="Verdana" w:hAnsi="Verdana"/>
                <w:b/>
                <w:bCs/>
                <w:sz w:val="18"/>
                <w:szCs w:val="18"/>
              </w:rPr>
              <w:t>Ustawa rządowa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429E5ED3" w14:textId="77777777" w:rsidR="00F41DAF" w:rsidRPr="0B88094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bCs/>
                <w:sz w:val="24"/>
                <w:szCs w:val="24"/>
              </w:rPr>
              <w:t>Dlaczego to ważne?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14:paraId="7E053CFE" w14:textId="03ADE1AF" w:rsidR="00F41DAF" w:rsidRPr="0B88094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1DAF">
              <w:rPr>
                <w:rFonts w:ascii="Verdana" w:hAnsi="Verdana"/>
                <w:b/>
                <w:bCs/>
                <w:sz w:val="24"/>
                <w:szCs w:val="24"/>
              </w:rPr>
              <w:t xml:space="preserve">Odniesienie do </w:t>
            </w:r>
            <w:r w:rsidR="00FB0B62">
              <w:rPr>
                <w:rFonts w:ascii="Verdana" w:hAnsi="Verdana"/>
                <w:b/>
                <w:bCs/>
                <w:sz w:val="24"/>
                <w:szCs w:val="24"/>
              </w:rPr>
              <w:t>treści projektów</w:t>
            </w:r>
          </w:p>
        </w:tc>
      </w:tr>
      <w:tr w:rsidR="00F41DAF" w14:paraId="29730B8A" w14:textId="2A01D3A3" w:rsidTr="004B7BAF">
        <w:trPr>
          <w:trHeight w:val="711"/>
        </w:trPr>
        <w:tc>
          <w:tcPr>
            <w:tcW w:w="1980" w:type="dxa"/>
            <w:vAlign w:val="center"/>
          </w:tcPr>
          <w:p w14:paraId="6E28CCB6" w14:textId="77777777" w:rsidR="00F41DAF" w:rsidRPr="00901895" w:rsidRDefault="00F41DAF" w:rsidP="00767D2A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Asystencja osobista dla dzieci i młodzieży</w:t>
            </w:r>
          </w:p>
        </w:tc>
        <w:tc>
          <w:tcPr>
            <w:tcW w:w="1134" w:type="dxa"/>
            <w:vAlign w:val="center"/>
          </w:tcPr>
          <w:p w14:paraId="2E426219" w14:textId="77777777" w:rsidR="00F41DAF" w:rsidRPr="00AE482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3BA15D9" w14:textId="77777777" w:rsidR="00F41DAF" w:rsidRPr="00E44C2C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4E50B95" w14:textId="77777777" w:rsidR="00F41DAF" w:rsidRPr="00CF11B2" w:rsidRDefault="00F41DAF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Okres dorastania to okres krytyczny dla uzyskania późniejszej samodzielności i niezależności.</w:t>
            </w:r>
            <w:r w:rsidRPr="00CF11B2">
              <w:rPr>
                <w:rFonts w:ascii="Verdana" w:hAnsi="Verdana"/>
                <w:sz w:val="20"/>
                <w:szCs w:val="20"/>
              </w:rPr>
              <w:br/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>„Nie da się pójść wraz z mamą na randkę”.</w:t>
            </w:r>
          </w:p>
          <w:p w14:paraId="71FA4697" w14:textId="17063100" w:rsidR="00F41DAF" w:rsidRPr="00CF11B2" w:rsidRDefault="00F41DAF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150AFC" w14:textId="77777777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2D536214" w14:textId="066489C2" w:rsidR="00767D2A" w:rsidRPr="00CF11B2" w:rsidRDefault="004110F1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w art. 8 ust. 1 pkt 2 – dostęp od 13 </w:t>
            </w:r>
            <w:proofErr w:type="spellStart"/>
            <w:r w:rsidRPr="00CF11B2">
              <w:rPr>
                <w:rFonts w:ascii="Verdana" w:eastAsia="Verdana" w:hAnsi="Verdana" w:cs="Verdana"/>
                <w:sz w:val="20"/>
                <w:szCs w:val="20"/>
              </w:rPr>
              <w:t>rż</w:t>
            </w:r>
            <w:proofErr w:type="spellEnd"/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, z ustawowym zapewnieniem ewaluacji po 3 latach w celu włączenia osób poniżej 13 </w:t>
            </w:r>
            <w:proofErr w:type="spellStart"/>
            <w:r w:rsidRPr="00CF11B2">
              <w:rPr>
                <w:rFonts w:ascii="Verdana" w:eastAsia="Verdana" w:hAnsi="Verdana" w:cs="Verdana"/>
                <w:sz w:val="20"/>
                <w:szCs w:val="20"/>
              </w:rPr>
              <w:t>rż</w:t>
            </w:r>
            <w:proofErr w:type="spellEnd"/>
            <w:r w:rsidR="00722067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2E66EC2" w14:textId="77777777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D33EBFC" w14:textId="25624196" w:rsidR="00767D2A" w:rsidRPr="00CF11B2" w:rsidRDefault="00FB0B62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Brak </w:t>
            </w:r>
            <w:r w:rsidR="00FC703F">
              <w:rPr>
                <w:rFonts w:ascii="Verdana" w:eastAsia="Verdana" w:hAnsi="Verdana" w:cs="Verdana"/>
                <w:sz w:val="20"/>
                <w:szCs w:val="20"/>
              </w:rPr>
              <w:t>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4 ust. 1 Ustawy prezydenckiej.</w:t>
            </w:r>
          </w:p>
          <w:p w14:paraId="2320D554" w14:textId="13960865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B7BAF" w14:paraId="758D0B03" w14:textId="77777777" w:rsidTr="004B7BAF">
        <w:trPr>
          <w:trHeight w:val="810"/>
        </w:trPr>
        <w:tc>
          <w:tcPr>
            <w:tcW w:w="1980" w:type="dxa"/>
            <w:vAlign w:val="center"/>
          </w:tcPr>
          <w:p w14:paraId="7F9B9058" w14:textId="33AFD164" w:rsidR="004B7BAF" w:rsidRPr="00901895" w:rsidRDefault="004B7BAF" w:rsidP="004B7BAF">
            <w:pPr>
              <w:spacing w:before="40" w:after="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Maksymalna miesięczna liczba godzin asystencji osobistej</w:t>
            </w:r>
          </w:p>
        </w:tc>
        <w:tc>
          <w:tcPr>
            <w:tcW w:w="1134" w:type="dxa"/>
            <w:vAlign w:val="center"/>
          </w:tcPr>
          <w:p w14:paraId="0DFD7DC7" w14:textId="7F514593" w:rsidR="004B7BAF" w:rsidRPr="0B88094F" w:rsidRDefault="004B7BAF" w:rsidP="004B7BAF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14:paraId="50CEEDDE" w14:textId="1C097FA9" w:rsidR="004B7BAF" w:rsidRPr="0B88094F" w:rsidRDefault="004B7BAF" w:rsidP="004B7BAF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240</w:t>
            </w:r>
          </w:p>
        </w:tc>
        <w:tc>
          <w:tcPr>
            <w:tcW w:w="3260" w:type="dxa"/>
            <w:vAlign w:val="center"/>
          </w:tcPr>
          <w:p w14:paraId="2D884ECB" w14:textId="2F88DFDC" w:rsidR="004B7BAF" w:rsidRPr="00CF11B2" w:rsidRDefault="004B7BAF" w:rsidP="004B7BA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Liczba godzin asystencji osobistej ma bezpośrednie przełożenie </w:t>
            </w:r>
            <w:r w:rsidR="00577BA3">
              <w:rPr>
                <w:rFonts w:ascii="Verdana" w:eastAsia="Verdana" w:hAnsi="Verdana" w:cs="Verdana"/>
                <w:sz w:val="20"/>
                <w:szCs w:val="20"/>
              </w:rPr>
              <w:t>na skalę wsparcia osoby z niepełnosprawnością</w:t>
            </w:r>
          </w:p>
        </w:tc>
        <w:tc>
          <w:tcPr>
            <w:tcW w:w="3969" w:type="dxa"/>
          </w:tcPr>
          <w:p w14:paraId="48FE2CB1" w14:textId="77777777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5A055C5D" w14:textId="7B6C6248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w art. </w:t>
            </w:r>
            <w:r w:rsidR="00EF00A1">
              <w:rPr>
                <w:rFonts w:ascii="Verdana" w:eastAsia="Verdana" w:hAnsi="Verdana" w:cs="Verdana"/>
                <w:sz w:val="20"/>
                <w:szCs w:val="20"/>
              </w:rPr>
              <w:t>10.</w:t>
            </w:r>
          </w:p>
          <w:p w14:paraId="1AB5425D" w14:textId="77777777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6BFB6D0" w14:textId="307F20F1" w:rsidR="006E3F7E" w:rsidRPr="00CF11B2" w:rsidRDefault="00EF00A1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Zawarte w art. 4 ust. 2.</w:t>
            </w:r>
          </w:p>
          <w:p w14:paraId="61437FDC" w14:textId="77777777" w:rsidR="004B7BAF" w:rsidRPr="00CF11B2" w:rsidRDefault="004B7BAF" w:rsidP="004B7BA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</w:tc>
      </w:tr>
      <w:tr w:rsidR="00AD4E4E" w14:paraId="11414FEB" w14:textId="77777777" w:rsidTr="004B7BAF">
        <w:trPr>
          <w:trHeight w:val="810"/>
        </w:trPr>
        <w:tc>
          <w:tcPr>
            <w:tcW w:w="1980" w:type="dxa"/>
            <w:vAlign w:val="center"/>
          </w:tcPr>
          <w:p w14:paraId="613C7904" w14:textId="26592399" w:rsidR="00AD4E4E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Możliwość przenoszenia godzin na kolejne miesiące</w:t>
            </w:r>
          </w:p>
        </w:tc>
        <w:tc>
          <w:tcPr>
            <w:tcW w:w="1134" w:type="dxa"/>
            <w:vAlign w:val="center"/>
          </w:tcPr>
          <w:p w14:paraId="67FB6D29" w14:textId="12E742E3" w:rsidR="00AD4E4E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3397AE83" w14:textId="4CFDCCC4" w:rsidR="00AD4E4E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D0EB1A7" w14:textId="0DFC61CF" w:rsidR="00AD4E4E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Zapewnienie możliwości przenoszenia godzin jest kluczowe ze względu na </w:t>
            </w:r>
            <w:r w:rsidR="00574569">
              <w:rPr>
                <w:rFonts w:ascii="Verdana" w:eastAsia="Verdana" w:hAnsi="Verdana" w:cs="Verdana"/>
                <w:sz w:val="20"/>
                <w:szCs w:val="20"/>
              </w:rPr>
              <w:t>zapewnienie elastyczności korzystania z asystencji osobistej.</w:t>
            </w:r>
          </w:p>
        </w:tc>
        <w:tc>
          <w:tcPr>
            <w:tcW w:w="3969" w:type="dxa"/>
          </w:tcPr>
          <w:p w14:paraId="36662F67" w14:textId="77777777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09356614" w14:textId="59C3BEC3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w art.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10 ust. 2.</w:t>
            </w:r>
          </w:p>
          <w:p w14:paraId="6099B0B4" w14:textId="77777777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17C23A3F" w14:textId="647926CB" w:rsidR="00AD4E4E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Brak przepisów </w:t>
            </w:r>
            <w:r w:rsidR="008D7BF2">
              <w:rPr>
                <w:rFonts w:ascii="Verdana" w:eastAsia="Verdana" w:hAnsi="Verdana" w:cs="Verdana"/>
                <w:sz w:val="20"/>
                <w:szCs w:val="20"/>
              </w:rPr>
              <w:t>określających możliwość przenoszenia godzin na kolejne miesiące.</w:t>
            </w:r>
          </w:p>
        </w:tc>
      </w:tr>
      <w:tr w:rsidR="00AD4E4E" w14:paraId="68A54B66" w14:textId="3DA4CB70" w:rsidTr="004B7BAF">
        <w:trPr>
          <w:trHeight w:val="810"/>
        </w:trPr>
        <w:tc>
          <w:tcPr>
            <w:tcW w:w="1980" w:type="dxa"/>
            <w:vAlign w:val="center"/>
          </w:tcPr>
          <w:p w14:paraId="3D8E6A33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Możliwość swobodnego wyboru realizatora asystencji osobistej: spośród samorządu lub różnych NGO</w:t>
            </w:r>
          </w:p>
        </w:tc>
        <w:tc>
          <w:tcPr>
            <w:tcW w:w="1134" w:type="dxa"/>
            <w:vAlign w:val="center"/>
          </w:tcPr>
          <w:p w14:paraId="1B8D01CB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8A855E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C2B189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Swobodny wybór realizatora to wymóg wynikający z Konwencji ONZ o prawach osób z niepełnosprawnościami, wprost podkreślony m.in. w Komentarzu generalnym do Konwencji nr 5, oraz praktyka wielu krajów wdrażających asystencję osobistą, w tym wszystkich najlepiej ocenianych.</w:t>
            </w:r>
          </w:p>
          <w:p w14:paraId="7C5BA14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Osoby z określonymi niepełnosprawnościami chcą móc same wybrać realizowanie asystencji osobistej przez organizację społeczną, która specjalizuje się we wsparciu osób z daną niepełnosprawnością i rozumie oraz odpowiada na ich potrzeby.</w:t>
            </w:r>
          </w:p>
          <w:p w14:paraId="62476973" w14:textId="071A6F4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875CE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D02D39D" w14:textId="495F490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43 ust. 1 oraz art. 2 pkt 11.</w:t>
            </w:r>
          </w:p>
          <w:p w14:paraId="207D30D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DC84774" w14:textId="0FF5FC2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(jedynie jeśli konkretne NGO zostanie wybrane przez powiat, a nie przez użytkownika)</w:t>
            </w:r>
          </w:p>
          <w:p w14:paraId="761D4BF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74C0D25" w14:textId="5CF76EF6" w:rsidTr="004B7BAF">
        <w:trPr>
          <w:trHeight w:val="810"/>
        </w:trPr>
        <w:tc>
          <w:tcPr>
            <w:tcW w:w="1980" w:type="dxa"/>
            <w:vAlign w:val="center"/>
          </w:tcPr>
          <w:p w14:paraId="284A741A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Możliwość samodzielnego zatrudniania asystenta osobistego przez użytkownika</w:t>
            </w:r>
          </w:p>
        </w:tc>
        <w:tc>
          <w:tcPr>
            <w:tcW w:w="1134" w:type="dxa"/>
            <w:vAlign w:val="center"/>
          </w:tcPr>
          <w:p w14:paraId="4B54E070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232FE1C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94B2E5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Możliwość samodzielnego zatrudnienia asystenta osobistego przez użytkownika to wymóg wynikający z Konwencji ONZ o prawach osób z niepełnosprawnościami, w tym wprost podkreślony m.in. w Komentarzu generalnym do Konwencji nr 5 oraz praktyka wielu krajów wdrażających asystencję osobistą, w tym wszystkich najlepiej ocenianych.</w:t>
            </w:r>
          </w:p>
          <w:p w14:paraId="643DCC5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Od lat funkcjonuje w polskim prawie możliwość samodzielnego zatrudnienia tzw. niani.</w:t>
            </w:r>
          </w:p>
          <w:p w14:paraId="31D44446" w14:textId="30E637A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65C65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2E77F12C" w14:textId="3ADBA2B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44 ust. 1–2.</w:t>
            </w:r>
          </w:p>
          <w:p w14:paraId="4A6BE38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8056567" w14:textId="4071FDF5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lub w innym art. Ustawy</w:t>
            </w:r>
          </w:p>
          <w:p w14:paraId="1B68AA8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C270025" w14:textId="19622096" w:rsidTr="004B7BAF">
        <w:trPr>
          <w:trHeight w:val="810"/>
        </w:trPr>
        <w:tc>
          <w:tcPr>
            <w:tcW w:w="1980" w:type="dxa"/>
            <w:vAlign w:val="center"/>
          </w:tcPr>
          <w:p w14:paraId="7BA10480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Wykorzystanie specjalistycznego doświadczenia organizacji pozarządowych jako możliwych realizatorów</w:t>
            </w:r>
          </w:p>
        </w:tc>
        <w:tc>
          <w:tcPr>
            <w:tcW w:w="1134" w:type="dxa"/>
            <w:vAlign w:val="center"/>
          </w:tcPr>
          <w:p w14:paraId="6B36AE50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BCA312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6CD0D1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Osoby z określonymi niepełnosprawnościami chcą móc same wybrać realizowanie asystencji osobistej przez organizację społeczną, która specjalizuje się we wsparciu osób z daną niepełnosprawnością i rozumie oraz odpowiada na ich potrzeby.</w:t>
            </w:r>
          </w:p>
          <w:p w14:paraId="037B4C33" w14:textId="70352FB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B5828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1A5DC6D8" w14:textId="086FF782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2 pkt 11 oraz art. 43 ust. 1.</w:t>
            </w:r>
          </w:p>
          <w:p w14:paraId="1AA216B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574E9145" w14:textId="5BF9A39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(jedynie jeśli konkretne NGO zostanie wybrane przez powiat, a nie przez użytkownika)</w:t>
            </w:r>
          </w:p>
          <w:p w14:paraId="6488C86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E7AC567" w14:textId="6E7DBE55" w:rsidTr="004B7BAF">
        <w:trPr>
          <w:trHeight w:val="487"/>
        </w:trPr>
        <w:tc>
          <w:tcPr>
            <w:tcW w:w="1980" w:type="dxa"/>
            <w:vAlign w:val="center"/>
          </w:tcPr>
          <w:p w14:paraId="6F3D4715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Zagwarantowanie realnej możliwości wyboru kandydatów na asystenta osobistego (maksymalnie jednoznaczny, konkretny przepis, ograniczający ryzyka fikcyjności wyboru)</w:t>
            </w:r>
          </w:p>
        </w:tc>
        <w:tc>
          <w:tcPr>
            <w:tcW w:w="1134" w:type="dxa"/>
            <w:vAlign w:val="center"/>
          </w:tcPr>
          <w:p w14:paraId="1CDCE0F3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60AE888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2B9142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Możliwość realnego, swobodnego wyboru asystenta osobistego przez użytkownika to jedna z podstaw poszanowania podmiotowości w ramach asystencji osobistej.</w:t>
            </w:r>
          </w:p>
          <w:p w14:paraId="314756A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Jest to też wymóg wynikający z Konwencji ONZ o prawach osób z niepełnosprawnościami, w tym wprost podkreślony m.in. w Komentarzu generalnym do Konwencji nr 5.</w:t>
            </w:r>
          </w:p>
          <w:p w14:paraId="18D49592" w14:textId="44EF20A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BA94DA" w14:textId="705D7E6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4DC832A7" w14:textId="15F421F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Zawarte m.in. w ramach art. 44 ust. 1-2</w:t>
            </w:r>
            <w:r w:rsidR="00055DC1">
              <w:rPr>
                <w:rFonts w:ascii="Verdana" w:eastAsia="Verdana" w:hAnsi="Verdana" w:cs="Verdana"/>
                <w:sz w:val="20"/>
                <w:szCs w:val="20"/>
              </w:rPr>
              <w:t>. Użytkownik ma decydujące zdanie</w:t>
            </w:r>
            <w:r w:rsidR="00E77A74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1962A4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8DFBD48" w14:textId="5AC9DEF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odpowiednio jednoznacznego i mocnego przepisu w ramach art. 26 ust. 3 i 4 Ustawy prezydenckiej (wybór osoby wskazanej jedynie jeśli usługodawca już uprzednio zatrudnił daną osobę).</w:t>
            </w:r>
          </w:p>
          <w:p w14:paraId="68FBC0A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170000EF" w14:textId="1D1BD284" w:rsidTr="004B7BAF">
        <w:trPr>
          <w:trHeight w:val="810"/>
        </w:trPr>
        <w:tc>
          <w:tcPr>
            <w:tcW w:w="1980" w:type="dxa"/>
            <w:vAlign w:val="center"/>
          </w:tcPr>
          <w:p w14:paraId="36F3BF35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Możliwość wykonywania czynności pielęgnacyjno-medycznych </w:t>
            </w:r>
            <w:r w:rsidRPr="00901895">
              <w:rPr>
                <w:rFonts w:ascii="Verdana" w:hAnsi="Verdana"/>
              </w:rPr>
              <w:lastRenderedPageBreak/>
              <w:t>przez asystenta osobistego po przeszkoleniu, przy obopólnej zgodzie asystenta i użytkownika</w:t>
            </w:r>
          </w:p>
        </w:tc>
        <w:tc>
          <w:tcPr>
            <w:tcW w:w="1134" w:type="dxa"/>
            <w:vAlign w:val="center"/>
          </w:tcPr>
          <w:p w14:paraId="3FFB3656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2360522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13CF5B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Asystent osobisty musi mieć możliwość wykonywać te czynności pielęgnacyjno-medyczne, które osoby z niepełnosprawnościami lub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członkowie rodzin wykonują sami na co dzień, m.in. podawanie leków, cewnikowanie, wymiana worka </w:t>
            </w:r>
            <w:proofErr w:type="spellStart"/>
            <w:r w:rsidRPr="00CF11B2">
              <w:rPr>
                <w:rFonts w:ascii="Verdana" w:eastAsia="Verdana" w:hAnsi="Verdana" w:cs="Verdana"/>
                <w:sz w:val="20"/>
                <w:szCs w:val="20"/>
              </w:rPr>
              <w:t>stomijnego</w:t>
            </w:r>
            <w:proofErr w:type="spellEnd"/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itd. Bez tego czeka nas niebezpieczna fikcja prawna, bo te czynności i tak w praktyce są i wciąż będą wykonywane przez asystentów, jednak bez przeszkoleń oraz ubezpieczeń NNW i OC.</w:t>
            </w:r>
          </w:p>
          <w:p w14:paraId="5AAA585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Od 2019 r. czynności pielęgnacyjno-medyczne wobec uczniów mogą, za zgodą rodziców, wykonywać nauczyciele.</w:t>
            </w:r>
          </w:p>
          <w:p w14:paraId="540D22E1" w14:textId="3BB658C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061D5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6E9F85F6" w14:textId="56C0BEA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26 ust. 6.</w:t>
            </w:r>
          </w:p>
          <w:p w14:paraId="78E330F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DA64A6" w14:textId="0083254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1 ust. 3 Ustawy prezydenckiej (nie mieści się to w czynnościach samoobsługowych ani podejmowaniu aktywności życiowej).</w:t>
            </w:r>
          </w:p>
          <w:p w14:paraId="4F67DCB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ACFE483" w14:textId="5E8BD669" w:rsidTr="004B7BAF">
        <w:trPr>
          <w:trHeight w:val="810"/>
        </w:trPr>
        <w:tc>
          <w:tcPr>
            <w:tcW w:w="1980" w:type="dxa"/>
            <w:vAlign w:val="center"/>
          </w:tcPr>
          <w:p w14:paraId="76309994" w14:textId="24388AA6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 xml:space="preserve">Pełna indywidualizacja wsparcia w oparciu o </w:t>
            </w:r>
            <w:r w:rsidR="002A7345">
              <w:rPr>
                <w:rFonts w:ascii="Verdana" w:hAnsi="Verdana"/>
              </w:rPr>
              <w:t xml:space="preserve">ekspercką </w:t>
            </w:r>
            <w:r w:rsidRPr="00901895">
              <w:rPr>
                <w:rFonts w:ascii="Verdana" w:hAnsi="Verdana"/>
              </w:rPr>
              <w:t>analizę potrzeb, w tym:</w:t>
            </w:r>
          </w:p>
        </w:tc>
        <w:tc>
          <w:tcPr>
            <w:tcW w:w="1134" w:type="dxa"/>
            <w:vAlign w:val="center"/>
          </w:tcPr>
          <w:p w14:paraId="4180AAEB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029BF6F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CA1B26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Wymóg wynikający z Konwencji ONZ o prawach osób z niepełnosprawnościami, w tym wprost podkreślony m.in. w Komentarzu generalnym do Konwencji nr 5 oraz praktyka wielu krajów wdrażających asystencję osobistą, w tym wszystkich najlepiej ocenianych.</w:t>
            </w:r>
          </w:p>
          <w:p w14:paraId="42470D24" w14:textId="48EC7C5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B1A62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55412F04" w14:textId="209332C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9 ust. 1.</w:t>
            </w:r>
            <w:r w:rsidR="002A7345">
              <w:rPr>
                <w:rFonts w:ascii="Verdana" w:hAnsi="Verdana"/>
                <w:sz w:val="20"/>
                <w:szCs w:val="20"/>
              </w:rPr>
              <w:t xml:space="preserve"> Ekspercka analiza potrzeb przez wykwalifikowany, przeszkolony, certyfikowany i bieżąco kontrolowany </w:t>
            </w:r>
            <w:r w:rsidR="00307B4A">
              <w:rPr>
                <w:rFonts w:ascii="Verdana" w:hAnsi="Verdana"/>
                <w:sz w:val="20"/>
                <w:szCs w:val="20"/>
              </w:rPr>
              <w:t>skład ustalający prawo do asystencji osobistej.</w:t>
            </w:r>
          </w:p>
          <w:p w14:paraId="40B5936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5AD6A3D" w14:textId="11142B7F" w:rsidR="00AD4E4E" w:rsidRPr="00CF11B2" w:rsidRDefault="00AD4E4E" w:rsidP="00135E4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20 ust. 1 i 2 </w:t>
            </w:r>
            <w:r w:rsidRPr="00135E4F">
              <w:rPr>
                <w:rFonts w:ascii="Verdana" w:eastAsia="Verdana" w:hAnsi="Verdana" w:cs="Verdana"/>
                <w:sz w:val="20"/>
                <w:szCs w:val="20"/>
              </w:rPr>
              <w:t>Ustawy prezydenckiej.</w:t>
            </w:r>
            <w:r w:rsidR="002A7345" w:rsidRPr="00135E4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35E4F" w:rsidRP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Ocena przez pracownika socjalnego na podstawie diagnozy i punktacji. Brak niezależnej </w:t>
            </w:r>
            <w:r w:rsid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oceny </w:t>
            </w:r>
            <w:r w:rsidR="00135E4F" w:rsidRP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eksperckiej</w:t>
            </w:r>
            <w:r w:rsid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D4E4E" w14:paraId="7193BC07" w14:textId="2869CBBF" w:rsidTr="004B7BAF">
        <w:trPr>
          <w:trHeight w:val="810"/>
        </w:trPr>
        <w:tc>
          <w:tcPr>
            <w:tcW w:w="1980" w:type="dxa"/>
            <w:vAlign w:val="center"/>
          </w:tcPr>
          <w:p w14:paraId="022515C1" w14:textId="77777777" w:rsidR="00AD4E4E" w:rsidRPr="00A0449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A04492">
              <w:rPr>
                <w:rFonts w:ascii="Verdana" w:hAnsi="Verdana"/>
                <w:sz w:val="20"/>
                <w:szCs w:val="20"/>
              </w:rPr>
              <w:t>- Zróżnicowanie wysokości stawek dla asystenta osobistego z racji na szczególne potrzeby osoby z niepełnosprawnością, np. komunikacja wspomagająca i alternatywna (AAC), zachowania trudne lub wykluczenie komunikacyjne</w:t>
            </w:r>
          </w:p>
        </w:tc>
        <w:tc>
          <w:tcPr>
            <w:tcW w:w="1134" w:type="dxa"/>
            <w:vAlign w:val="center"/>
          </w:tcPr>
          <w:p w14:paraId="63C03965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6066BEF1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0B81FE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Praktyka zaczerpnięta z doświadczeń międzynarodowych, która została z sukcesem wdrożona w ramach pilotażu asystencji osobistej.</w:t>
            </w:r>
          </w:p>
          <w:p w14:paraId="12ADDB6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Stanowi mechanizm zapewnienia równych szans/ przeciwdziałania dyskryminacji osób, które mają dodatkowe szczególne potrzeby, które sprawiają, że znacznie trudniej jest im znaleźć chętnych asystentów.</w:t>
            </w:r>
          </w:p>
          <w:p w14:paraId="32C603FC" w14:textId="7407A30F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C8388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82CEF1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EDCA4E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11AF65E6" w14:textId="11A84F5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20 ust. 1 i 2 Ustawy prezydenckiej.</w:t>
            </w:r>
          </w:p>
          <w:p w14:paraId="7DBA201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013C8ADB" w14:textId="686E4462" w:rsidTr="004B7BAF">
        <w:trPr>
          <w:trHeight w:val="810"/>
        </w:trPr>
        <w:tc>
          <w:tcPr>
            <w:tcW w:w="1980" w:type="dxa"/>
            <w:vAlign w:val="center"/>
          </w:tcPr>
          <w:p w14:paraId="4BA13E72" w14:textId="11723BE7" w:rsidR="00AD4E4E" w:rsidRPr="00A0449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</w:t>
            </w:r>
            <w:r w:rsidRPr="00A04492">
              <w:rPr>
                <w:rFonts w:ascii="Verdana" w:hAnsi="Verdana"/>
                <w:sz w:val="20"/>
                <w:szCs w:val="20"/>
              </w:rPr>
              <w:t xml:space="preserve">naliza potrzeb wsparcia przez Zespół z udziałem osoby z </w:t>
            </w:r>
            <w:r w:rsidRPr="00A04492">
              <w:rPr>
                <w:rFonts w:ascii="Verdana" w:hAnsi="Verdana"/>
                <w:sz w:val="20"/>
                <w:szCs w:val="20"/>
              </w:rPr>
              <w:lastRenderedPageBreak/>
              <w:t>niepełnosprawnością</w:t>
            </w:r>
          </w:p>
          <w:p w14:paraId="14FE0E38" w14:textId="6CD0281A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A04492">
              <w:rPr>
                <w:rFonts w:ascii="Verdana" w:hAnsi="Verdana"/>
                <w:sz w:val="20"/>
                <w:szCs w:val="20"/>
              </w:rPr>
              <w:t>(lub osoby stale wspierającej osobę z niepełnosprawnością) z rodzajem niepełnosprawności maksymalnie zbliżonym do osoby zgłaszającej się po asystencję</w:t>
            </w:r>
          </w:p>
        </w:tc>
        <w:tc>
          <w:tcPr>
            <w:tcW w:w="1134" w:type="dxa"/>
            <w:vAlign w:val="center"/>
          </w:tcPr>
          <w:p w14:paraId="71743828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129B511E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B83A5A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Praktyka zaczerpnięta z doświadczeń międzynarodowych, która została z sukcesem wdrożona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w ramach pilotażu asystencji osobistej.</w:t>
            </w:r>
          </w:p>
          <w:p w14:paraId="34776CA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jakość ocen zespołów oraz ułatwi efektywną komunikację z użytkownikami z różnymi niepełnosprawnościami.</w:t>
            </w:r>
          </w:p>
          <w:p w14:paraId="64914E36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zatrudnienie osób z niepełnosprawnościami oraz ich bliskich w obszarach, w których są naturalnymi ekspertami.</w:t>
            </w:r>
          </w:p>
          <w:p w14:paraId="35726940" w14:textId="3684BB44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0116D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52D65182" w14:textId="72C38B21" w:rsidR="00AD4E4E" w:rsidRPr="00CF11B2" w:rsidRDefault="00FC3D84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Silne ukierunkowanie na analizę potrzeb wsparcia przez Zespół z udziałem przeszkolonego eksperta 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osoby z niepe</w:t>
            </w:r>
            <w:r w:rsidR="00A95A50">
              <w:rPr>
                <w:rFonts w:ascii="Verdana" w:eastAsia="Verdana" w:hAnsi="Verdana" w:cs="Verdana"/>
                <w:sz w:val="20"/>
                <w:szCs w:val="20"/>
              </w:rPr>
              <w:t xml:space="preserve">łnosprawnością, lub osoby stale wspierającej taką osobą, </w:t>
            </w:r>
            <w:r w:rsidR="00A95A50" w:rsidRPr="00A04492">
              <w:rPr>
                <w:rFonts w:ascii="Verdana" w:hAnsi="Verdana"/>
                <w:sz w:val="20"/>
                <w:szCs w:val="20"/>
              </w:rPr>
              <w:t>z rodzajem niepełnosprawności maksymalnie zbliżonym do osoby zgłaszającej się po asystencję</w:t>
            </w:r>
            <w:r w:rsidR="00A95A50">
              <w:rPr>
                <w:rFonts w:ascii="Verdana" w:hAnsi="Verdana"/>
                <w:sz w:val="20"/>
                <w:szCs w:val="20"/>
              </w:rPr>
              <w:t>.</w:t>
            </w:r>
          </w:p>
          <w:p w14:paraId="1964C8CE" w14:textId="0700AC9F" w:rsidR="00AE15D0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3E6AA36" w14:textId="6BB92C68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19 ust. 3 i 4 Ustawy prezydenckiej.</w:t>
            </w:r>
          </w:p>
          <w:p w14:paraId="6942539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799AB81" w14:textId="308EC372" w:rsidTr="004B7BAF">
        <w:trPr>
          <w:trHeight w:val="810"/>
        </w:trPr>
        <w:tc>
          <w:tcPr>
            <w:tcW w:w="1980" w:type="dxa"/>
            <w:vAlign w:val="center"/>
          </w:tcPr>
          <w:p w14:paraId="0AA7956E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Zapewnienie specjalistycznych szkoleń uzupełniających dla asystentów osobistych</w:t>
            </w:r>
          </w:p>
        </w:tc>
        <w:tc>
          <w:tcPr>
            <w:tcW w:w="1134" w:type="dxa"/>
            <w:vAlign w:val="center"/>
          </w:tcPr>
          <w:p w14:paraId="5A1C5455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DC2F24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909233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jakość wsparcia świadczonego przez asystentów osobistych użytkownikom mającym dodatkowe, szczególne potrzeby oraz zmniejszy rotację asystentów osobistych.</w:t>
            </w:r>
          </w:p>
          <w:p w14:paraId="0E99A69E" w14:textId="301FA68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7E750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05CDDEB" w14:textId="72F46FBE" w:rsidR="00AD4E4E" w:rsidRPr="00CF11B2" w:rsidRDefault="00826F5C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Zapewnienie prawa do specjalistycznych szkoleń dla asystentów osobistych, wprost w ramach kontraktów z danym użytkownikiem.</w:t>
            </w:r>
          </w:p>
          <w:p w14:paraId="65BA5FC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9F851B8" w14:textId="4E36A8F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7 ust. 2 oraz art. 20 ust. 1 i innych artykułów Ustawy prezydenckiej.</w:t>
            </w:r>
          </w:p>
          <w:p w14:paraId="6FECA73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FA5553F" w14:textId="64D872D3" w:rsidTr="004B7BAF">
        <w:trPr>
          <w:trHeight w:val="810"/>
        </w:trPr>
        <w:tc>
          <w:tcPr>
            <w:tcW w:w="1980" w:type="dxa"/>
            <w:vAlign w:val="center"/>
          </w:tcPr>
          <w:p w14:paraId="1D553EDE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Obowiązek realizacji Ustawy (świadczenia asystencji osobistej) w każdym powiecie</w:t>
            </w:r>
          </w:p>
        </w:tc>
        <w:tc>
          <w:tcPr>
            <w:tcW w:w="1134" w:type="dxa"/>
            <w:vAlign w:val="center"/>
          </w:tcPr>
          <w:p w14:paraId="6A599DAB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028CDB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BE257F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Ustawa musi gwarantować faktyczną realizację asystencji osobistej w każdej części Polski i – w sytuacji, gdy użytkownik tak wybierze – zobowiązywać odpowiedni samorząd do jej realizacji.</w:t>
            </w:r>
          </w:p>
          <w:p w14:paraId="3555979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Zawarta w ustawie prezydenckiej (art. 20) możliwość nierealizowania ustawy z powodu “braku możliwości organizacyjnych powiatu” lub “wysokości środków finansowych przekazanych powiatowi z budżetu państwa oraz liczby osób potrzebujących wsparcia” powoduje, że de facto ustawa ta może być martwym prawem i nie być w ogóle realizowana.</w:t>
            </w:r>
          </w:p>
        </w:tc>
        <w:tc>
          <w:tcPr>
            <w:tcW w:w="3969" w:type="dxa"/>
          </w:tcPr>
          <w:p w14:paraId="7613752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38141A9" w14:textId="20331D5A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nakazuje powiatowi zapewnić asystencję osobistą. Art. 70 ust. 2 wprost stanowi: „Powiat jest obowiązany zapewnić asystencję osobistą, jeżeli użytkownik wybierze powiat jako realizatora”</w:t>
            </w:r>
          </w:p>
          <w:p w14:paraId="70C0E61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348815C" w14:textId="58C3661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Dyskwalifikujące gwarancję realizacji ustawy</w:t>
            </w:r>
            <w:r w:rsidR="0097651C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brzmienie </w:t>
            </w:r>
            <w:r w:rsidR="0097651C">
              <w:rPr>
                <w:rFonts w:ascii="Verdana" w:eastAsia="Verdana" w:hAnsi="Verdana" w:cs="Verdana"/>
                <w:sz w:val="20"/>
                <w:szCs w:val="20"/>
              </w:rPr>
              <w:t xml:space="preserve">ustawy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>w ramach art. 20</w:t>
            </w:r>
          </w:p>
          <w:p w14:paraId="5EB9F42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4E4E" w14:paraId="1137DB40" w14:textId="1ED92EED" w:rsidTr="004B7BAF">
        <w:tc>
          <w:tcPr>
            <w:tcW w:w="1980" w:type="dxa"/>
          </w:tcPr>
          <w:p w14:paraId="74C4201C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Wsparcie przy składaniu wniosku o asystencję</w:t>
            </w:r>
          </w:p>
        </w:tc>
        <w:tc>
          <w:tcPr>
            <w:tcW w:w="1134" w:type="dxa"/>
            <w:vAlign w:val="center"/>
          </w:tcPr>
          <w:p w14:paraId="2310C44A" w14:textId="31171F2B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54716EF" w14:textId="08C0BF69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347B6A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Osoby z niepełnosprawnościami nie zostaną wykluczone z usługi z powodu barier cyfrowych lub trudności w wypełnieniu formalności. Zapewnienie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pomocy technicznej i merytorycznej przy składaniu wniosku gwarantuje równy dostęp do wsparcia. Jest to realizacja zasady dostępności i równości szans.</w:t>
            </w:r>
          </w:p>
        </w:tc>
        <w:tc>
          <w:tcPr>
            <w:tcW w:w="3969" w:type="dxa"/>
          </w:tcPr>
          <w:p w14:paraId="6DEC8AB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26923ED0" w14:textId="0690EAB4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przewiduje ułatwienia w aplikowaniu. Art. 19 ust. 2–3 nakazuje ZUS i powiatowi umożliwienie osobom z niepełnosprawnością dostępu do sprzętu komputerowego i wsparcia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przy składaniu wniosku (</w:t>
            </w:r>
            <w:r w:rsidR="00FE1DBD">
              <w:rPr>
                <w:rFonts w:ascii="Verdana" w:hAnsi="Verdana"/>
                <w:sz w:val="20"/>
                <w:szCs w:val="20"/>
              </w:rPr>
              <w:t xml:space="preserve">zarówno </w:t>
            </w:r>
            <w:r w:rsidRPr="00CF11B2">
              <w:rPr>
                <w:rFonts w:ascii="Verdana" w:hAnsi="Verdana"/>
                <w:sz w:val="20"/>
                <w:szCs w:val="20"/>
              </w:rPr>
              <w:t>w oddziałach ZUS i siedzibach powiatów</w:t>
            </w:r>
            <w:r w:rsidR="00FE1DBD">
              <w:rPr>
                <w:rFonts w:ascii="Verdana" w:hAnsi="Verdana"/>
                <w:sz w:val="20"/>
                <w:szCs w:val="20"/>
              </w:rPr>
              <w:t>, jak 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domu użytkownika)</w:t>
            </w:r>
          </w:p>
          <w:p w14:paraId="53806B2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09CB7B4" w14:textId="4982D9A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Brak podobnych gwarancji.</w:t>
            </w:r>
          </w:p>
          <w:p w14:paraId="0CEA060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4E4E" w14:paraId="1E2FC110" w14:textId="1B880D99" w:rsidTr="004B7BAF">
        <w:tc>
          <w:tcPr>
            <w:tcW w:w="1980" w:type="dxa"/>
          </w:tcPr>
          <w:p w14:paraId="14717F88" w14:textId="38FDC78F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Możliwość udziału osoby wspierającej w procesie (przy składaniu wniosku, ocenie potrzeb, ewaluacji)</w:t>
            </w:r>
          </w:p>
        </w:tc>
        <w:tc>
          <w:tcPr>
            <w:tcW w:w="1134" w:type="dxa"/>
            <w:vAlign w:val="center"/>
          </w:tcPr>
          <w:p w14:paraId="61363722" w14:textId="2927D36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77EDEC10" w14:textId="31828E1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7D862469" w14:textId="6FA7880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Udział opiekuna lub bliskiej osoby w procesie przyznawania asystencji zapewnia uwzględnienie realnych potrzeb osób, które samodzielnie mogą mieć trudności z komunikacją czy wypełnieniem dokumentów.</w:t>
            </w:r>
          </w:p>
        </w:tc>
        <w:tc>
          <w:tcPr>
            <w:tcW w:w="3969" w:type="dxa"/>
          </w:tcPr>
          <w:p w14:paraId="5B8AD82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37465158" w14:textId="400283E6" w:rsidR="00E14A30" w:rsidRDefault="00E14A30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Zawarte m.in. w ramach art. 15 i 62.</w:t>
            </w:r>
          </w:p>
          <w:p w14:paraId="61B9B124" w14:textId="5778259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2 pkt 5: definicja „formularza samooceny” obejmuje możliwość wypełnienia go przy wsparciu osoby stale wspierającej; Art. 11 ust. 1 pkt 2: możliwość przeprowadzenia wywiadu z osobą stale wspierającą.</w:t>
            </w:r>
          </w:p>
          <w:p w14:paraId="6D948E9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4D7E5DF4" w14:textId="3EC1707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uwzględnienia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ramach art. 19 ust. 3–4</w:t>
            </w:r>
            <w:r w:rsidR="00E14A30">
              <w:rPr>
                <w:rFonts w:ascii="Verdana" w:hAnsi="Verdana"/>
                <w:sz w:val="20"/>
                <w:szCs w:val="20"/>
              </w:rPr>
              <w:t xml:space="preserve"> lub innych </w:t>
            </w:r>
            <w:r w:rsidR="00527F19">
              <w:rPr>
                <w:rFonts w:ascii="Verdana" w:hAnsi="Verdana"/>
                <w:sz w:val="20"/>
                <w:szCs w:val="20"/>
              </w:rPr>
              <w:t>artykułów ustawy.</w:t>
            </w:r>
          </w:p>
        </w:tc>
      </w:tr>
      <w:tr w:rsidR="00AD4E4E" w14:paraId="7742B9DA" w14:textId="03E73C66" w:rsidTr="004B7BAF">
        <w:tc>
          <w:tcPr>
            <w:tcW w:w="1980" w:type="dxa"/>
          </w:tcPr>
          <w:p w14:paraId="290E5277" w14:textId="2ABD32E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Dostępność formularzy i informacji (ETR i PJM)</w:t>
            </w:r>
          </w:p>
        </w:tc>
        <w:tc>
          <w:tcPr>
            <w:tcW w:w="1134" w:type="dxa"/>
            <w:vAlign w:val="center"/>
          </w:tcPr>
          <w:p w14:paraId="257E55EE" w14:textId="688C2BE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7AB355DD" w14:textId="1B9734B2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CF1E749" w14:textId="0FCB96D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Osoby z niepełnosprawnością intelektualną lub słuchową mają zapewniony dostęp do zrozumiałych informacji i formularzy, co umożliwia samodzielne zrozumienie procedury.</w:t>
            </w:r>
          </w:p>
        </w:tc>
        <w:tc>
          <w:tcPr>
            <w:tcW w:w="3969" w:type="dxa"/>
          </w:tcPr>
          <w:p w14:paraId="6CC9704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6D41C6B4" w14:textId="58519D4B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Art. 11 ust. 3: </w:t>
            </w:r>
            <w:r w:rsidR="00527F19">
              <w:rPr>
                <w:rFonts w:ascii="Verdana" w:hAnsi="Verdana"/>
                <w:sz w:val="20"/>
                <w:szCs w:val="20"/>
              </w:rPr>
              <w:t xml:space="preserve">określa </w:t>
            </w:r>
            <w:r w:rsidRPr="00CF11B2">
              <w:rPr>
                <w:rFonts w:ascii="Verdana" w:hAnsi="Verdana"/>
                <w:sz w:val="20"/>
                <w:szCs w:val="20"/>
              </w:rPr>
              <w:t>obowiązek udostępnienia formularzy w tekście łatwym do czytania (ETR) i polskim języku migowym (PJM).</w:t>
            </w:r>
          </w:p>
          <w:p w14:paraId="0F70DCE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5904D7F7" w14:textId="261D54B6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Nie przewiduje takich form.</w:t>
            </w:r>
          </w:p>
        </w:tc>
      </w:tr>
      <w:tr w:rsidR="00AD4E4E" w14:paraId="49157D51" w14:textId="1F6FF007" w:rsidTr="004B7BAF">
        <w:tc>
          <w:tcPr>
            <w:tcW w:w="1980" w:type="dxa"/>
          </w:tcPr>
          <w:p w14:paraId="739C363C" w14:textId="15F28A9E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Dedykowane środki finansowe dla powiatów na przygotowanie i realizację ustawy</w:t>
            </w:r>
          </w:p>
        </w:tc>
        <w:tc>
          <w:tcPr>
            <w:tcW w:w="1134" w:type="dxa"/>
            <w:vAlign w:val="center"/>
          </w:tcPr>
          <w:p w14:paraId="4AD97F27" w14:textId="4D893A82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4EFCF9D" w14:textId="38C34B6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EFC88B6" w14:textId="4F7791A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Zapewnienie finansowania zadań powiatu zapobiega sytuacji, w której brak środków utrudni lub uniemożliwi wdrożenie ustawy.</w:t>
            </w:r>
          </w:p>
        </w:tc>
        <w:tc>
          <w:tcPr>
            <w:tcW w:w="3969" w:type="dxa"/>
          </w:tcPr>
          <w:p w14:paraId="65C1039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2D1122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75 ust. 23: ZUS wypłaca powiatowi środki na przygotowanie – 1% kosztów pracy asystentów i 10 tys. zł miesięcznie na obsługę.</w:t>
            </w:r>
          </w:p>
          <w:p w14:paraId="5BFC8953" w14:textId="2BAF656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4580BBF" w14:textId="6153FE2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zapisu – brak odrębnej regulacji dot. dedykowanych środków z budżetu państwa na przygotowanie wdrożenia i obsługę zadań powiatu</w:t>
            </w:r>
          </w:p>
        </w:tc>
      </w:tr>
      <w:tr w:rsidR="00AD4E4E" w14:paraId="3D971F79" w14:textId="233B8905" w:rsidTr="004B7BAF">
        <w:tc>
          <w:tcPr>
            <w:tcW w:w="1980" w:type="dxa"/>
          </w:tcPr>
          <w:p w14:paraId="73A2BDB5" w14:textId="43D60628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Maksymalny termin (30 dni) na przedstawienie kandydatów na asystenta</w:t>
            </w:r>
          </w:p>
        </w:tc>
        <w:tc>
          <w:tcPr>
            <w:tcW w:w="1134" w:type="dxa"/>
            <w:vAlign w:val="center"/>
          </w:tcPr>
          <w:p w14:paraId="4554B33A" w14:textId="345C993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D6C9641" w14:textId="18B99F1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9CD21D1" w14:textId="6484DA5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Zapobiega opóźnieniom w realizacji usługi po przyznaniu prawa do asystencji – zwiększa jej realność.</w:t>
            </w:r>
          </w:p>
        </w:tc>
        <w:tc>
          <w:tcPr>
            <w:tcW w:w="3969" w:type="dxa"/>
          </w:tcPr>
          <w:p w14:paraId="5177AF9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694C3456" w14:textId="51C1B53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Art. 44 ust. 3: Realizator wskazuje użytkownikowi co najmniej dwóch kandydatów </w:t>
            </w:r>
            <w:r w:rsidR="007546A9">
              <w:rPr>
                <w:rFonts w:ascii="Verdana" w:hAnsi="Verdana"/>
                <w:sz w:val="20"/>
                <w:szCs w:val="20"/>
              </w:rPr>
              <w:t xml:space="preserve">niezwłocznie, nie później niż </w:t>
            </w:r>
            <w:r w:rsidRPr="00CF11B2">
              <w:rPr>
                <w:rFonts w:ascii="Verdana" w:hAnsi="Verdana"/>
                <w:sz w:val="20"/>
                <w:szCs w:val="20"/>
              </w:rPr>
              <w:t>w terminie 30 dni.</w:t>
            </w:r>
          </w:p>
          <w:p w14:paraId="2B80B1A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0441E2" w14:textId="0F517FE2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przepisu określającego maksymalny termin na przedstawienie kandydatów na asystenta w całej ustawie</w:t>
            </w:r>
            <w:r w:rsidR="007546A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D4E4E" w14:paraId="4BEC3A0F" w14:textId="4460565D" w:rsidTr="004B7BAF">
        <w:tc>
          <w:tcPr>
            <w:tcW w:w="1980" w:type="dxa"/>
          </w:tcPr>
          <w:p w14:paraId="699F48E9" w14:textId="56E2F1FF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Określone okresy </w:t>
            </w:r>
            <w:r w:rsidRPr="00901895">
              <w:rPr>
                <w:rFonts w:ascii="Verdana" w:hAnsi="Verdana"/>
              </w:rPr>
              <w:lastRenderedPageBreak/>
              <w:t xml:space="preserve">wypowiedzenia kontraktu (ochrona ciągłości </w:t>
            </w:r>
            <w:r w:rsidR="009C4553">
              <w:rPr>
                <w:rFonts w:ascii="Verdana" w:hAnsi="Verdana"/>
              </w:rPr>
              <w:t xml:space="preserve">i stabilności </w:t>
            </w:r>
            <w:r w:rsidRPr="00901895">
              <w:rPr>
                <w:rFonts w:ascii="Verdana" w:hAnsi="Verdana"/>
              </w:rPr>
              <w:t>usługi)</w:t>
            </w:r>
            <w:r w:rsidR="009C4553">
              <w:rPr>
                <w:rFonts w:ascii="Verdana" w:hAnsi="Verdana"/>
              </w:rPr>
              <w:t>, analogiczne jak w przypadku umowy o pracę</w:t>
            </w:r>
          </w:p>
        </w:tc>
        <w:tc>
          <w:tcPr>
            <w:tcW w:w="1134" w:type="dxa"/>
            <w:vAlign w:val="center"/>
          </w:tcPr>
          <w:p w14:paraId="1EBCF853" w14:textId="42BE30C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528F4E49" w14:textId="17616EE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5EBB20F5" w14:textId="107C8F2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Zabezpiecza stabilność i ciągłość usług dla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użytkowników i warunki zatrudnienia dla asystentów.</w:t>
            </w:r>
          </w:p>
        </w:tc>
        <w:tc>
          <w:tcPr>
            <w:tcW w:w="3969" w:type="dxa"/>
          </w:tcPr>
          <w:p w14:paraId="681D356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43672D0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Art. 33 ust. 1 – wprowadza minimalne okresy wypowiedzenia kontraktu o świadczenie asystencji, uzależnione od długości trwania kontraktu (od 1 tygodnia do 3 miesięcy), co ma na celu zapewnienie ciągłości usługi dla użytkownika.</w:t>
            </w:r>
          </w:p>
          <w:p w14:paraId="5086939C" w14:textId="4514A0BC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DE10C4" w14:textId="3F1E16B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w ustawie prezydenckiej dotyczącej minimalnych okresów wypowiedzenia umowy (kontraktu) o świadczenie asystencji osobistej.</w:t>
            </w:r>
          </w:p>
        </w:tc>
      </w:tr>
      <w:tr w:rsidR="00AD4E4E" w14:paraId="6ED8D255" w14:textId="68360704" w:rsidTr="004B7BAF">
        <w:tc>
          <w:tcPr>
            <w:tcW w:w="1980" w:type="dxa"/>
          </w:tcPr>
          <w:p w14:paraId="407C303C" w14:textId="35BE0C19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Objęcie asystentów osobistych ubezpieczeniem chorobowym</w:t>
            </w:r>
            <w:r w:rsidR="00C53EC9">
              <w:rPr>
                <w:rFonts w:ascii="Verdana" w:hAnsi="Verdana"/>
              </w:rPr>
              <w:t xml:space="preserve">, </w:t>
            </w:r>
            <w:r w:rsidR="009C4553">
              <w:rPr>
                <w:rFonts w:ascii="Verdana" w:hAnsi="Verdana"/>
              </w:rPr>
              <w:t xml:space="preserve">analogicznie </w:t>
            </w:r>
            <w:r w:rsidR="00C53EC9">
              <w:rPr>
                <w:rFonts w:ascii="Verdana" w:hAnsi="Verdana"/>
              </w:rPr>
              <w:t xml:space="preserve">jak </w:t>
            </w:r>
            <w:r w:rsidR="009C4553">
              <w:rPr>
                <w:rFonts w:ascii="Verdana" w:hAnsi="Verdana"/>
              </w:rPr>
              <w:t>w przypadku</w:t>
            </w:r>
            <w:r w:rsidR="00C53EC9">
              <w:rPr>
                <w:rFonts w:ascii="Verdana" w:hAnsi="Verdana"/>
              </w:rPr>
              <w:t xml:space="preserve"> umów o pracę</w:t>
            </w:r>
          </w:p>
        </w:tc>
        <w:tc>
          <w:tcPr>
            <w:tcW w:w="1134" w:type="dxa"/>
            <w:vAlign w:val="center"/>
          </w:tcPr>
          <w:p w14:paraId="77533F04" w14:textId="051AD1C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FA578C2" w14:textId="2CA6AC3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1A169181" w14:textId="6CE2E165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asystentom osobistym ochronę socjalną w razie choroby, zwiększając atrakcyjność zawodu i zmniejszając rotację kadry.</w:t>
            </w:r>
          </w:p>
        </w:tc>
        <w:tc>
          <w:tcPr>
            <w:tcW w:w="3969" w:type="dxa"/>
          </w:tcPr>
          <w:p w14:paraId="2DFFB5D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E270234" w14:textId="752DD98A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Zmiana ustawy o systemie ubezpieczeń społecznych – asystenci objęci obowiązkowym ubezpieczeniem chorobowym, a zatem mają dostęp do urlopu zdrowotnego (Art. 11 ust. 1 i Art. 16 ust. 1f).</w:t>
            </w:r>
          </w:p>
          <w:p w14:paraId="098C3FA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BB82028" w14:textId="75F66C8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objęcia asystentów osobistych obowiązkowym ubezpieczeniem chorobowym w przepisach ustawy</w:t>
            </w:r>
            <w:r w:rsidR="00C53EC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D4E4E" w14:paraId="6F2D2F8A" w14:textId="61B69A76" w:rsidTr="004B7BAF">
        <w:tc>
          <w:tcPr>
            <w:tcW w:w="1980" w:type="dxa"/>
          </w:tcPr>
          <w:p w14:paraId="0F0A0A3B" w14:textId="770A3511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Zagwarantowanie asystentom osobistym płatnego urlopu wypoczynkowego, analogicznego jak </w:t>
            </w:r>
            <w:r w:rsidR="009C4553">
              <w:rPr>
                <w:rFonts w:ascii="Verdana" w:hAnsi="Verdana"/>
              </w:rPr>
              <w:t>w przypadku</w:t>
            </w:r>
            <w:r w:rsidRPr="00901895">
              <w:rPr>
                <w:rFonts w:ascii="Verdana" w:hAnsi="Verdana"/>
              </w:rPr>
              <w:t xml:space="preserve"> umów o pracę</w:t>
            </w:r>
          </w:p>
        </w:tc>
        <w:tc>
          <w:tcPr>
            <w:tcW w:w="1134" w:type="dxa"/>
            <w:vAlign w:val="center"/>
          </w:tcPr>
          <w:p w14:paraId="0F373CF3" w14:textId="3127DE78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529DCA4" w14:textId="2E5C4E7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202596B" w14:textId="729DF322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godne warunki świadczenia usług i przeciwdziała wypaleniu zawodowemu – profesjonalizacja zawodu asystenta osobistego.</w:t>
            </w:r>
          </w:p>
        </w:tc>
        <w:tc>
          <w:tcPr>
            <w:tcW w:w="3969" w:type="dxa"/>
          </w:tcPr>
          <w:p w14:paraId="39AA06D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193B483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59 ust. 1–2 – asystentowi osobistemu przysługuje płatny urlop wypoczynkowy w wymiarze 1 godziny za każde 10 godzin świadczonej asystencji. Urlop ten jest płatny i jego wykorzystanie nie zmniejsza puli godzin asystencji przyznanych użytkownikowi usługi.</w:t>
            </w:r>
          </w:p>
          <w:p w14:paraId="63A55508" w14:textId="0CEDC8C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5508B7E" w14:textId="4DE85BEF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prawa asystentów osobistych do płatnego urlopu wypoczynkowego w całej ustawie.</w:t>
            </w:r>
          </w:p>
        </w:tc>
      </w:tr>
      <w:tr w:rsidR="00AD4E4E" w14:paraId="1E1F0B48" w14:textId="77777777" w:rsidTr="004B7BAF">
        <w:tc>
          <w:tcPr>
            <w:tcW w:w="1980" w:type="dxa"/>
          </w:tcPr>
          <w:p w14:paraId="0A2B33C5" w14:textId="30D0BAFA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Doradztwo wzajemne dla użytkowników (min. 4 godz. na pół roku)</w:t>
            </w:r>
          </w:p>
        </w:tc>
        <w:tc>
          <w:tcPr>
            <w:tcW w:w="1134" w:type="dxa"/>
            <w:vAlign w:val="center"/>
          </w:tcPr>
          <w:p w14:paraId="366DC9B5" w14:textId="4CAA5817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CE006FD" w14:textId="781BCE0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978D068" w14:textId="3B98353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Wzmacnia </w:t>
            </w:r>
            <w:r>
              <w:rPr>
                <w:rFonts w:ascii="Verdana" w:hAnsi="Verdana"/>
                <w:sz w:val="20"/>
                <w:szCs w:val="20"/>
              </w:rPr>
              <w:t>podmiotowość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i efektywne korzystanie z asystencji poprzez wymianę doświadczeń z innymi osobami z niepełnosprawnością.</w:t>
            </w:r>
            <w:r w:rsidR="00565B79">
              <w:rPr>
                <w:rFonts w:ascii="Verdana" w:hAnsi="Verdana"/>
                <w:sz w:val="20"/>
                <w:szCs w:val="20"/>
              </w:rPr>
              <w:t xml:space="preserve"> Doświadczenia z innych krajów wskazują na bardzo dużą rolę doradztwa wzajemnego w zapewnieniu wysokiej jakości wsparcia </w:t>
            </w:r>
            <w:r w:rsidR="00565B79">
              <w:rPr>
                <w:rFonts w:ascii="Verdana" w:hAnsi="Verdana"/>
                <w:sz w:val="20"/>
                <w:szCs w:val="20"/>
              </w:rPr>
              <w:lastRenderedPageBreak/>
              <w:t>oraz w ramach rozwiązywania trudności i problemów.</w:t>
            </w:r>
          </w:p>
        </w:tc>
        <w:tc>
          <w:tcPr>
            <w:tcW w:w="3969" w:type="dxa"/>
          </w:tcPr>
          <w:p w14:paraId="1B863FE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7D0088A9" w14:textId="0F735265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8 ust. 1 – w ramach usług przewidziano także doradztwo wzajemne dla osób uprawnionych. Użytkownik asystencji może skorzystać z doradztwa wzajemnego świadczonego przez doradcę wzajemnego (osobę z niepełnosprawnością lub jej opiekuna z doświadczeniem), w wymiarze do 4 godzin na pół roku.</w:t>
            </w:r>
          </w:p>
          <w:p w14:paraId="6F0CB1C6" w14:textId="135D4A85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prezydencki:</w:t>
            </w:r>
          </w:p>
          <w:p w14:paraId="1ADFFDF9" w14:textId="40D1EE6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doradztwa wzajemnego dla użytkowników usługi asystencji w całej ustawie</w:t>
            </w:r>
          </w:p>
        </w:tc>
      </w:tr>
      <w:tr w:rsidR="00AD4E4E" w14:paraId="01595A25" w14:textId="77777777" w:rsidTr="004B7BAF">
        <w:tc>
          <w:tcPr>
            <w:tcW w:w="1980" w:type="dxa"/>
          </w:tcPr>
          <w:p w14:paraId="28008A1F" w14:textId="5C32304C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Obowiązkowa regularna ewaluacja jakości usług asystencji osobistej</w:t>
            </w:r>
          </w:p>
        </w:tc>
        <w:tc>
          <w:tcPr>
            <w:tcW w:w="1134" w:type="dxa"/>
            <w:vAlign w:val="center"/>
          </w:tcPr>
          <w:p w14:paraId="37BF8D3F" w14:textId="67C60BE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A9A7663" w14:textId="45A523D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2BC9F44" w14:textId="5C26EEB9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Pozwala monitorować jakość usług, identyfikować problemy i wdrażać działania naprawcze – co przekłada się na dobro użytkowników.</w:t>
            </w:r>
          </w:p>
        </w:tc>
        <w:tc>
          <w:tcPr>
            <w:tcW w:w="3969" w:type="dxa"/>
          </w:tcPr>
          <w:p w14:paraId="28651B9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3951E1F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68 ust. 1 – koordynator usługi asystencji ma obowiązek przeprowadzania ewaluacji świadczonej usługi nie rzadziej niż raz na trzy miesiące, a dodatkowo obligatoryjnie przed zakończeniem każdego kontraktu, celem monitorowania jakości i wprowadzania usprawnień.</w:t>
            </w:r>
          </w:p>
          <w:p w14:paraId="0011EDDC" w14:textId="41BE370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936AB60" w14:textId="2DBF491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przepisu ustanawiającego regularną, cykliczną ewaluację jakości świadczonych usług asystencji. Ustawa prezydencka przewiduje jedynie sporządzenie ewaluacji przy ponownym wniosku o usługę (jednorazowo na koniec okresu korzystania), nie ustanawia jednak stałej, okresowej oceny jakości.</w:t>
            </w:r>
          </w:p>
        </w:tc>
      </w:tr>
      <w:tr w:rsidR="00AD4E4E" w14:paraId="420CD8E6" w14:textId="77777777" w:rsidTr="004B7BAF">
        <w:tc>
          <w:tcPr>
            <w:tcW w:w="1980" w:type="dxa"/>
          </w:tcPr>
          <w:p w14:paraId="5BE3EFDE" w14:textId="2D572FD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Wzmocniony nadzór Pełnomocnika Rządu i wojewodów nad realizacją ustawy</w:t>
            </w:r>
          </w:p>
        </w:tc>
        <w:tc>
          <w:tcPr>
            <w:tcW w:w="1134" w:type="dxa"/>
            <w:vAlign w:val="center"/>
          </w:tcPr>
          <w:p w14:paraId="5275FADB" w14:textId="3C2ECC5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3257562" w14:textId="797B84C7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1F14F191" w14:textId="18795E91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Gwarantuje jednolity standard </w:t>
            </w:r>
            <w:r>
              <w:rPr>
                <w:rFonts w:ascii="Verdana" w:hAnsi="Verdana"/>
                <w:sz w:val="20"/>
                <w:szCs w:val="20"/>
              </w:rPr>
              <w:t>realizacji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całym kraju i </w:t>
            </w:r>
            <w:r>
              <w:rPr>
                <w:rFonts w:ascii="Verdana" w:hAnsi="Verdana"/>
                <w:sz w:val="20"/>
                <w:szCs w:val="20"/>
              </w:rPr>
              <w:t xml:space="preserve">możliwość realnej </w:t>
            </w:r>
            <w:r w:rsidRPr="00CF11B2">
              <w:rPr>
                <w:rFonts w:ascii="Verdana" w:hAnsi="Verdana"/>
                <w:sz w:val="20"/>
                <w:szCs w:val="20"/>
              </w:rPr>
              <w:t>reakcj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na nieprawidłowości w ich realizacji.</w:t>
            </w:r>
          </w:p>
        </w:tc>
        <w:tc>
          <w:tcPr>
            <w:tcW w:w="3969" w:type="dxa"/>
          </w:tcPr>
          <w:p w14:paraId="5CCF957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4C0B2BBF" w14:textId="639A0A4A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72 ust. 11 – Pełnomocnik Rządu do spraw Osób Niepełnosprawnych uzyskuje uprawnienie nadzorcze: może zobowiązać powiatowy zespół realizujący asystencję do odwołania członka odpowiedzialnego za stwierdzone nieprawidłowości w realizacji zadań ustawy. (Ponadto w ustawie rządowej wojewodowie mają szerokie kompetencje kontrolne, w tym nakładanie kar – zob. art. 72 ust. 8).</w:t>
            </w:r>
          </w:p>
          <w:p w14:paraId="39A0AB61" w14:textId="6618449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1840DAA" w14:textId="4912B470" w:rsidR="00AD4E4E" w:rsidRPr="00CF11B2" w:rsidRDefault="00E06CB1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>rak szczególnych regulacji wzmacniających nadzór centralny lub wojewódzki nad realizacją ustawy</w:t>
            </w:r>
            <w:r w:rsidR="00AD4E4E">
              <w:rPr>
                <w:rFonts w:ascii="Verdana" w:hAnsi="Verdana"/>
                <w:sz w:val="20"/>
                <w:szCs w:val="20"/>
              </w:rPr>
              <w:t>. Jedynie wymóg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 xml:space="preserve"> sporządzania sprawozdań przez powiat i wojewodę, nie przewidując uprawnień Pełnomocnika</w:t>
            </w:r>
            <w:r w:rsidR="00AD4E4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 xml:space="preserve">ani </w:t>
            </w:r>
            <w:r w:rsidR="00997EAF">
              <w:rPr>
                <w:rFonts w:ascii="Verdana" w:hAnsi="Verdana"/>
                <w:sz w:val="20"/>
                <w:szCs w:val="20"/>
              </w:rPr>
              <w:t xml:space="preserve">szczegółowych 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>mechanizmów interwencji w przypadku nieprawidłowości.</w:t>
            </w:r>
          </w:p>
        </w:tc>
      </w:tr>
      <w:tr w:rsidR="00AD4E4E" w14:paraId="0B21D1B6" w14:textId="77777777" w:rsidTr="004B7BAF">
        <w:tc>
          <w:tcPr>
            <w:tcW w:w="1980" w:type="dxa"/>
          </w:tcPr>
          <w:p w14:paraId="710DECD7" w14:textId="7EF10FB8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Zagwarantowanie asystentom </w:t>
            </w:r>
            <w:r w:rsidRPr="00901895">
              <w:rPr>
                <w:rFonts w:ascii="Verdana" w:hAnsi="Verdana"/>
              </w:rPr>
              <w:lastRenderedPageBreak/>
              <w:t>osobistym płatnego urlopu wypoczynkowego, analogicznego jak dla umów o pracę</w:t>
            </w:r>
          </w:p>
        </w:tc>
        <w:tc>
          <w:tcPr>
            <w:tcW w:w="1134" w:type="dxa"/>
            <w:vAlign w:val="center"/>
          </w:tcPr>
          <w:p w14:paraId="3E43D643" w14:textId="285D138B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4B7FA061" w14:textId="06796D24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7A38937C" w14:textId="22D86E8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Zapewnia godne warunki świadczenia usług i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przeciwdziała wypaleniu zawodowemu – profesjonalizacja zawodu asystenta osobistego.</w:t>
            </w:r>
          </w:p>
        </w:tc>
        <w:tc>
          <w:tcPr>
            <w:tcW w:w="3969" w:type="dxa"/>
          </w:tcPr>
          <w:p w14:paraId="031692F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7E5B555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Art. 59 ust. 1–2: 1 godzina urlopu za każde 10 godzin pracy asystenta; urlop płatny i niezmniejszający godzin asystencji przyznanych użytkownikowi.</w:t>
            </w:r>
          </w:p>
          <w:p w14:paraId="10E5DE86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677EEB9D" w14:textId="47766C5C" w:rsidR="00AD4E4E" w:rsidRPr="00CF11B2" w:rsidRDefault="00E06CB1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zapewnienia podobnych gwarancji.</w:t>
            </w:r>
          </w:p>
        </w:tc>
      </w:tr>
      <w:tr w:rsidR="00AD4E4E" w14:paraId="4AAF69E2" w14:textId="77777777" w:rsidTr="004B7BAF">
        <w:tc>
          <w:tcPr>
            <w:tcW w:w="1980" w:type="dxa"/>
          </w:tcPr>
          <w:p w14:paraId="2B76E745" w14:textId="319B376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System kar administracyjnych dla realizatorów w razie braku realizacji lub niewłaściwej realizacji Ustawy</w:t>
            </w:r>
          </w:p>
        </w:tc>
        <w:tc>
          <w:tcPr>
            <w:tcW w:w="1134" w:type="dxa"/>
            <w:vAlign w:val="center"/>
          </w:tcPr>
          <w:p w14:paraId="0B9305BB" w14:textId="2D428FB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24F8B3C" w14:textId="38FDA47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609D4E64" w14:textId="3B80493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skuteczność i spójność realizacji ustawy poprzez wprowadzenie realnej odpowiedzialności dla jednostek niewywiązujących się z zadań ustawowych.</w:t>
            </w:r>
          </w:p>
        </w:tc>
        <w:tc>
          <w:tcPr>
            <w:tcW w:w="3969" w:type="dxa"/>
          </w:tcPr>
          <w:p w14:paraId="70FED43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508BF6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72 ust. 8 – wojewoda, w ramach nadzoru, nakłada na realizatora usługi (podmiot wykonujący usługę asystencji) administracyjną karę pieniężną, jeżeli stwierdzi niewykonanie lub nienależyte wykonanie obowiązków określonych ustawą. Wprowadza to mechanizm odpowiedzialności za realizację zadań.</w:t>
            </w:r>
          </w:p>
          <w:p w14:paraId="37E42323" w14:textId="1B14B8F8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DD54B1E" w14:textId="74B6139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przewidującej system kar administracyjnych wobec realizatorów niewywiązujących się z obowiązków.</w:t>
            </w:r>
          </w:p>
        </w:tc>
      </w:tr>
    </w:tbl>
    <w:p w14:paraId="3E777421" w14:textId="77777777" w:rsidR="005529D7" w:rsidRDefault="005529D7" w:rsidP="00D5092C">
      <w:pPr>
        <w:rPr>
          <w:rFonts w:ascii="Verdana" w:hAnsi="Verdana"/>
          <w:b/>
          <w:bCs/>
          <w:sz w:val="28"/>
          <w:szCs w:val="28"/>
        </w:rPr>
      </w:pPr>
    </w:p>
    <w:p w14:paraId="6734ECD6" w14:textId="38D249A5" w:rsidR="007656D9" w:rsidRPr="00023453" w:rsidRDefault="007656D9" w:rsidP="00D5092C">
      <w:pPr>
        <w:jc w:val="center"/>
        <w:rPr>
          <w:rFonts w:ascii="Verdana" w:hAnsi="Verdana"/>
          <w:b/>
          <w:bCs/>
          <w:sz w:val="28"/>
          <w:szCs w:val="28"/>
        </w:rPr>
      </w:pPr>
      <w:r w:rsidRPr="00023453">
        <w:rPr>
          <w:rFonts w:ascii="Verdana" w:hAnsi="Verdana"/>
          <w:b/>
          <w:bCs/>
          <w:sz w:val="28"/>
          <w:szCs w:val="28"/>
        </w:rPr>
        <w:t xml:space="preserve">Dodatkowe </w:t>
      </w:r>
      <w:r>
        <w:rPr>
          <w:rFonts w:ascii="Verdana" w:hAnsi="Verdana"/>
          <w:b/>
          <w:bCs/>
          <w:sz w:val="28"/>
          <w:szCs w:val="28"/>
        </w:rPr>
        <w:t xml:space="preserve">uwagi odnośnie różnic w zakresie konsekwencji finansowych ustawy </w:t>
      </w:r>
      <w:r w:rsidRPr="00023453">
        <w:rPr>
          <w:rFonts w:ascii="Verdana" w:hAnsi="Verdana"/>
          <w:b/>
          <w:bCs/>
          <w:sz w:val="28"/>
          <w:szCs w:val="28"/>
        </w:rPr>
        <w:t>prezydencki</w:t>
      </w:r>
      <w:r>
        <w:rPr>
          <w:rFonts w:ascii="Verdana" w:hAnsi="Verdana"/>
          <w:b/>
          <w:bCs/>
          <w:sz w:val="28"/>
          <w:szCs w:val="28"/>
        </w:rPr>
        <w:t>ej o asystencji osobistej</w:t>
      </w:r>
      <w:r>
        <w:rPr>
          <w:rFonts w:ascii="Verdana" w:hAnsi="Verdana"/>
          <w:b/>
          <w:bCs/>
          <w:sz w:val="28"/>
          <w:szCs w:val="28"/>
        </w:rPr>
        <w:br/>
      </w:r>
      <w:r w:rsidRPr="00023453">
        <w:rPr>
          <w:rFonts w:ascii="Verdana" w:hAnsi="Verdana"/>
          <w:b/>
          <w:bCs/>
          <w:sz w:val="28"/>
          <w:szCs w:val="28"/>
        </w:rPr>
        <w:t>a rządowym projektem Ustawy o asystencji osobistej</w:t>
      </w:r>
    </w:p>
    <w:p w14:paraId="5B61D864" w14:textId="77777777" w:rsidR="005529D7" w:rsidRDefault="005529D7" w:rsidP="007656D9">
      <w:pPr>
        <w:spacing w:before="80" w:after="80" w:line="312" w:lineRule="auto"/>
        <w:rPr>
          <w:rFonts w:ascii="Verdana" w:hAnsi="Verdana"/>
        </w:rPr>
      </w:pPr>
    </w:p>
    <w:p w14:paraId="56CED1E4" w14:textId="0079CAB3" w:rsidR="007656D9" w:rsidRPr="00F44143" w:rsidRDefault="007656D9" w:rsidP="007656D9">
      <w:pPr>
        <w:spacing w:before="80" w:after="80" w:line="312" w:lineRule="auto"/>
        <w:rPr>
          <w:rFonts w:ascii="Verdana" w:hAnsi="Verdana"/>
        </w:rPr>
      </w:pPr>
      <w:r w:rsidRPr="00F44143">
        <w:rPr>
          <w:rFonts w:ascii="Verdana" w:hAnsi="Verdana"/>
        </w:rPr>
        <w:t xml:space="preserve">Należy zwrócić uwagę, że prezydencki projekt ustawy </w:t>
      </w:r>
      <w:r>
        <w:rPr>
          <w:rFonts w:ascii="Verdana" w:hAnsi="Verdana"/>
        </w:rPr>
        <w:t xml:space="preserve">o asystencji osobistej </w:t>
      </w:r>
      <w:r w:rsidRPr="00F44143">
        <w:rPr>
          <w:rFonts w:ascii="Verdana" w:hAnsi="Verdana"/>
        </w:rPr>
        <w:t>niesie za sobą ogromną niepewność względem wydatków budżetowych. Przygotowana niepre</w:t>
      </w:r>
      <w:r>
        <w:rPr>
          <w:rFonts w:ascii="Verdana" w:hAnsi="Verdana"/>
        </w:rPr>
        <w:t>cyz</w:t>
      </w:r>
      <w:r w:rsidRPr="00F44143">
        <w:rPr>
          <w:rFonts w:ascii="Verdana" w:hAnsi="Verdana"/>
        </w:rPr>
        <w:t>yjnie Ocena Skutków Regulacji nie wskazuje konkretnych liczb, jakie trzeba wydać na poszczególne elementy proponowanego w ramach projektu sytemu.</w:t>
      </w:r>
    </w:p>
    <w:p w14:paraId="5756FDCE" w14:textId="77777777" w:rsidR="007656D9" w:rsidRPr="00F44143" w:rsidRDefault="007656D9" w:rsidP="007656D9">
      <w:pPr>
        <w:spacing w:before="80" w:after="80" w:line="312" w:lineRule="auto"/>
        <w:rPr>
          <w:rFonts w:ascii="Verdana" w:hAnsi="Verdana"/>
        </w:rPr>
      </w:pPr>
      <w:r w:rsidRPr="00F44143">
        <w:rPr>
          <w:rFonts w:ascii="Verdana" w:hAnsi="Verdana"/>
        </w:rPr>
        <w:t>Kancelaria Prezydenta RP projektując swoje rozwiązanie, wskazała liczbę beneficjentów w oparciu o pierwotne założenia do świadczenia wspierającego. Liczba 50 tys. użytkowników (o najwyższym poziomie potrzeby wsparcia)</w:t>
      </w:r>
      <w:r>
        <w:rPr>
          <w:rFonts w:ascii="Verdana" w:hAnsi="Verdana"/>
        </w:rPr>
        <w:t>, deklaratywnie liczona według liczby osób uzyskujących</w:t>
      </w:r>
      <w:r w:rsidRPr="00F44143">
        <w:rPr>
          <w:rFonts w:ascii="Verdana" w:hAnsi="Verdana"/>
        </w:rPr>
        <w:t xml:space="preserve"> </w:t>
      </w:r>
      <w:r>
        <w:rPr>
          <w:rFonts w:ascii="Verdana" w:hAnsi="Verdana"/>
        </w:rPr>
        <w:t>co najmniej 70 punktów w skali poziomu potrzeby wsparcia</w:t>
      </w:r>
      <w:r w:rsidR="006162C1">
        <w:rPr>
          <w:rFonts w:ascii="Verdana" w:hAnsi="Verdana"/>
        </w:rPr>
        <w:t xml:space="preserve"> (próg wejścia dla korzystania z asystencji w projekcie prezydenckim)</w:t>
      </w:r>
      <w:r>
        <w:rPr>
          <w:rFonts w:ascii="Verdana" w:hAnsi="Verdana"/>
        </w:rPr>
        <w:t xml:space="preserve">, </w:t>
      </w:r>
      <w:r w:rsidRPr="00F44143">
        <w:rPr>
          <w:rFonts w:ascii="Verdana" w:hAnsi="Verdana"/>
        </w:rPr>
        <w:t xml:space="preserve">jest </w:t>
      </w:r>
      <w:r w:rsidR="00D31BBD">
        <w:rPr>
          <w:rFonts w:ascii="Verdana" w:hAnsi="Verdana"/>
        </w:rPr>
        <w:t>kilkukrotnie</w:t>
      </w:r>
      <w:r w:rsidR="00A630D5">
        <w:rPr>
          <w:rFonts w:ascii="Verdana" w:hAnsi="Verdana"/>
        </w:rPr>
        <w:t xml:space="preserve"> (!)</w:t>
      </w:r>
      <w:r w:rsidRPr="00F44143">
        <w:rPr>
          <w:rFonts w:ascii="Verdana" w:hAnsi="Verdana"/>
        </w:rPr>
        <w:t xml:space="preserve"> niedoszacowana.</w:t>
      </w:r>
    </w:p>
    <w:p w14:paraId="4F4AB9A2" w14:textId="07F13ED2" w:rsidR="00237C40" w:rsidRPr="00F41DAF" w:rsidRDefault="004F5B6A" w:rsidP="00F41DAF">
      <w:pPr>
        <w:spacing w:before="80" w:after="80" w:line="312" w:lineRule="auto"/>
        <w:rPr>
          <w:rFonts w:ascii="Verdana" w:hAnsi="Verdana"/>
        </w:rPr>
      </w:pPr>
      <w:r>
        <w:rPr>
          <w:rFonts w:ascii="Verdana" w:hAnsi="Verdana"/>
        </w:rPr>
        <w:t>Publicznie dostępne dane wskazują, że r</w:t>
      </w:r>
      <w:r w:rsidR="007656D9" w:rsidRPr="00F44143">
        <w:rPr>
          <w:rFonts w:ascii="Verdana" w:hAnsi="Verdana"/>
        </w:rPr>
        <w:t>ozkład punktowy przy świadczeniu wspierającym układa się zupełnie inaczej. Co przy uwzględnieniu seniorów w prezydenckim projekcie ustawy</w:t>
      </w:r>
      <w:r w:rsidR="00937CE6">
        <w:rPr>
          <w:rFonts w:ascii="Verdana" w:hAnsi="Verdana"/>
        </w:rPr>
        <w:t xml:space="preserve"> (</w:t>
      </w:r>
      <w:r w:rsidR="000A361E">
        <w:rPr>
          <w:rFonts w:ascii="Verdana" w:hAnsi="Verdana"/>
        </w:rPr>
        <w:t>których nie obejmuje</w:t>
      </w:r>
      <w:r w:rsidR="00937CE6">
        <w:rPr>
          <w:rFonts w:ascii="Verdana" w:hAnsi="Verdana"/>
        </w:rPr>
        <w:t xml:space="preserve"> żadna ustawa o asystencji osobistej na świecie)</w:t>
      </w:r>
      <w:r w:rsidR="007656D9" w:rsidRPr="00F44143">
        <w:rPr>
          <w:rFonts w:ascii="Verdana" w:hAnsi="Verdana"/>
        </w:rPr>
        <w:t xml:space="preserve">, może wygenerować </w:t>
      </w:r>
      <w:r w:rsidR="000A361E">
        <w:rPr>
          <w:rFonts w:ascii="Verdana" w:hAnsi="Verdana"/>
        </w:rPr>
        <w:t xml:space="preserve">niemożliwe do </w:t>
      </w:r>
      <w:r w:rsidR="00AC2AA0">
        <w:rPr>
          <w:rFonts w:ascii="Verdana" w:hAnsi="Verdana"/>
        </w:rPr>
        <w:t xml:space="preserve">poniesienia koszty </w:t>
      </w:r>
      <w:r w:rsidR="007656D9" w:rsidRPr="00F44143">
        <w:rPr>
          <w:rFonts w:ascii="Verdana" w:hAnsi="Verdana"/>
        </w:rPr>
        <w:t>budżetowe. Rozwiązanie prezydenckie w takiej formie i z tak szeroką grup</w:t>
      </w:r>
      <w:r w:rsidR="00AC2AA0">
        <w:rPr>
          <w:rFonts w:ascii="Verdana" w:hAnsi="Verdana"/>
        </w:rPr>
        <w:t>ą</w:t>
      </w:r>
      <w:r w:rsidR="007656D9" w:rsidRPr="00F44143">
        <w:rPr>
          <w:rFonts w:ascii="Verdana" w:hAnsi="Verdana"/>
        </w:rPr>
        <w:t xml:space="preserve"> beneficjentów (łącznie z seniorami) to wydatek</w:t>
      </w:r>
      <w:r w:rsidR="007656D9">
        <w:rPr>
          <w:rFonts w:ascii="Verdana" w:hAnsi="Verdana"/>
        </w:rPr>
        <w:t xml:space="preserve"> przekraczający nawet </w:t>
      </w:r>
      <w:r w:rsidR="007656D9" w:rsidRPr="00F44143">
        <w:rPr>
          <w:rFonts w:ascii="Verdana" w:hAnsi="Verdana"/>
        </w:rPr>
        <w:t>20 mld zł rocznie</w:t>
      </w:r>
      <w:r w:rsidR="007656D9">
        <w:rPr>
          <w:rFonts w:ascii="Verdana" w:hAnsi="Verdana"/>
        </w:rPr>
        <w:t xml:space="preserve"> już w pierwszych latach wdrażania tego projektu</w:t>
      </w:r>
      <w:r w:rsidR="002F64BD">
        <w:rPr>
          <w:rFonts w:ascii="Verdana" w:hAnsi="Verdana"/>
        </w:rPr>
        <w:t>, rażąco wyższy niż zakładany w ramach projektu</w:t>
      </w:r>
      <w:r w:rsidR="00AF12D4">
        <w:rPr>
          <w:rFonts w:ascii="Verdana" w:hAnsi="Verdana"/>
        </w:rPr>
        <w:t xml:space="preserve"> i sprawiający, że projekt jest obiektywnie nie</w:t>
      </w:r>
      <w:r w:rsidR="00776403">
        <w:rPr>
          <w:rFonts w:ascii="Verdana" w:hAnsi="Verdana"/>
        </w:rPr>
        <w:t>realny</w:t>
      </w:r>
      <w:r w:rsidR="00AF12D4">
        <w:rPr>
          <w:rFonts w:ascii="Verdana" w:hAnsi="Verdana"/>
        </w:rPr>
        <w:t xml:space="preserve"> do wdrożenia.</w:t>
      </w:r>
    </w:p>
    <w:sectPr w:rsidR="00237C40" w:rsidRPr="00F41DAF" w:rsidSect="00C93B78">
      <w:footerReference w:type="default" r:id="rId8"/>
      <w:pgSz w:w="11906" w:h="16838"/>
      <w:pgMar w:top="340" w:right="284" w:bottom="340" w:left="28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BD98" w14:textId="77777777" w:rsidR="00B5516D" w:rsidRDefault="00B5516D" w:rsidP="002166AD">
      <w:pPr>
        <w:spacing w:after="0" w:line="240" w:lineRule="auto"/>
      </w:pPr>
      <w:r>
        <w:separator/>
      </w:r>
    </w:p>
  </w:endnote>
  <w:endnote w:type="continuationSeparator" w:id="0">
    <w:p w14:paraId="24AC4317" w14:textId="77777777" w:rsidR="00B5516D" w:rsidRDefault="00B5516D" w:rsidP="002166AD">
      <w:pPr>
        <w:spacing w:after="0" w:line="240" w:lineRule="auto"/>
      </w:pPr>
      <w:r>
        <w:continuationSeparator/>
      </w:r>
    </w:p>
  </w:endnote>
  <w:endnote w:type="continuationNotice" w:id="1">
    <w:p w14:paraId="4C763B15" w14:textId="77777777" w:rsidR="00B5516D" w:rsidRDefault="00B55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938028"/>
      <w:docPartObj>
        <w:docPartGallery w:val="Page Numbers (Bottom of Page)"/>
        <w:docPartUnique/>
      </w:docPartObj>
    </w:sdtPr>
    <w:sdtContent>
      <w:p w14:paraId="490DF375" w14:textId="77777777" w:rsidR="002166AD" w:rsidRDefault="00C93B78" w:rsidP="00C93B78">
        <w:pPr>
          <w:pStyle w:val="Stopka"/>
          <w:jc w:val="right"/>
        </w:pPr>
        <w:r w:rsidRPr="00C93B78">
          <w:rPr>
            <w:b/>
            <w:bCs/>
          </w:rPr>
          <w:fldChar w:fldCharType="begin"/>
        </w:r>
        <w:r w:rsidRPr="00C93B78">
          <w:rPr>
            <w:b/>
            <w:bCs/>
          </w:rPr>
          <w:instrText>PAGE   \* MERGEFORMAT</w:instrText>
        </w:r>
        <w:r w:rsidRPr="00C93B78">
          <w:rPr>
            <w:b/>
            <w:bCs/>
          </w:rPr>
          <w:fldChar w:fldCharType="separate"/>
        </w:r>
        <w:r w:rsidRPr="00C93B78">
          <w:rPr>
            <w:b/>
            <w:bCs/>
          </w:rPr>
          <w:t>2</w:t>
        </w:r>
        <w:r w:rsidRPr="00C93B78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A911" w14:textId="77777777" w:rsidR="00B5516D" w:rsidRDefault="00B5516D" w:rsidP="002166AD">
      <w:pPr>
        <w:spacing w:after="0" w:line="240" w:lineRule="auto"/>
      </w:pPr>
      <w:r>
        <w:separator/>
      </w:r>
    </w:p>
  </w:footnote>
  <w:footnote w:type="continuationSeparator" w:id="0">
    <w:p w14:paraId="4C13CAA8" w14:textId="77777777" w:rsidR="00B5516D" w:rsidRDefault="00B5516D" w:rsidP="002166AD">
      <w:pPr>
        <w:spacing w:after="0" w:line="240" w:lineRule="auto"/>
      </w:pPr>
      <w:r>
        <w:continuationSeparator/>
      </w:r>
    </w:p>
  </w:footnote>
  <w:footnote w:type="continuationNotice" w:id="1">
    <w:p w14:paraId="2DF7DD5F" w14:textId="77777777" w:rsidR="00B5516D" w:rsidRDefault="00B551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BEBC"/>
    <w:multiLevelType w:val="hybridMultilevel"/>
    <w:tmpl w:val="FFFFFFFF"/>
    <w:lvl w:ilvl="0" w:tplc="AB24F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E4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65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83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CD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8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0B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A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E2CA7"/>
    <w:multiLevelType w:val="hybridMultilevel"/>
    <w:tmpl w:val="59EAC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014D"/>
    <w:multiLevelType w:val="hybridMultilevel"/>
    <w:tmpl w:val="7622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234">
    <w:abstractNumId w:val="0"/>
  </w:num>
  <w:num w:numId="2" w16cid:durableId="936407316">
    <w:abstractNumId w:val="2"/>
  </w:num>
  <w:num w:numId="3" w16cid:durableId="162812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5"/>
    <w:rsid w:val="00010EB0"/>
    <w:rsid w:val="00011BB5"/>
    <w:rsid w:val="00055DC1"/>
    <w:rsid w:val="000647BC"/>
    <w:rsid w:val="0007528F"/>
    <w:rsid w:val="00075C8E"/>
    <w:rsid w:val="000A2437"/>
    <w:rsid w:val="000A361E"/>
    <w:rsid w:val="000B6DE2"/>
    <w:rsid w:val="00104C38"/>
    <w:rsid w:val="00104EF3"/>
    <w:rsid w:val="001233DA"/>
    <w:rsid w:val="00130087"/>
    <w:rsid w:val="00131D06"/>
    <w:rsid w:val="00133030"/>
    <w:rsid w:val="0013452A"/>
    <w:rsid w:val="00135E4F"/>
    <w:rsid w:val="00136EA8"/>
    <w:rsid w:val="001634F3"/>
    <w:rsid w:val="0017712D"/>
    <w:rsid w:val="001B1D27"/>
    <w:rsid w:val="001D32A6"/>
    <w:rsid w:val="00216682"/>
    <w:rsid w:val="002166AD"/>
    <w:rsid w:val="00237C40"/>
    <w:rsid w:val="00252F05"/>
    <w:rsid w:val="00257346"/>
    <w:rsid w:val="0026573B"/>
    <w:rsid w:val="0027601C"/>
    <w:rsid w:val="00280572"/>
    <w:rsid w:val="002861EB"/>
    <w:rsid w:val="002870A3"/>
    <w:rsid w:val="00293327"/>
    <w:rsid w:val="0029366F"/>
    <w:rsid w:val="002A7345"/>
    <w:rsid w:val="002B40CD"/>
    <w:rsid w:val="002B44BA"/>
    <w:rsid w:val="002B453F"/>
    <w:rsid w:val="002C06A6"/>
    <w:rsid w:val="002C0E62"/>
    <w:rsid w:val="002C1271"/>
    <w:rsid w:val="002C36AA"/>
    <w:rsid w:val="002F64BD"/>
    <w:rsid w:val="00301D04"/>
    <w:rsid w:val="00301F9F"/>
    <w:rsid w:val="003047FA"/>
    <w:rsid w:val="00307B4A"/>
    <w:rsid w:val="00336A4B"/>
    <w:rsid w:val="00360FA7"/>
    <w:rsid w:val="003616A2"/>
    <w:rsid w:val="00367CBE"/>
    <w:rsid w:val="0037074D"/>
    <w:rsid w:val="0037434D"/>
    <w:rsid w:val="003803FD"/>
    <w:rsid w:val="00386309"/>
    <w:rsid w:val="00386568"/>
    <w:rsid w:val="00391A86"/>
    <w:rsid w:val="003A78C7"/>
    <w:rsid w:val="003C1C95"/>
    <w:rsid w:val="003C4925"/>
    <w:rsid w:val="003C4DA0"/>
    <w:rsid w:val="003D5D5B"/>
    <w:rsid w:val="003E6169"/>
    <w:rsid w:val="003E703D"/>
    <w:rsid w:val="004110F1"/>
    <w:rsid w:val="00412237"/>
    <w:rsid w:val="004174D0"/>
    <w:rsid w:val="00420AC7"/>
    <w:rsid w:val="00424445"/>
    <w:rsid w:val="004328DD"/>
    <w:rsid w:val="0045678B"/>
    <w:rsid w:val="004634EA"/>
    <w:rsid w:val="00477E19"/>
    <w:rsid w:val="00484843"/>
    <w:rsid w:val="00490961"/>
    <w:rsid w:val="004957EC"/>
    <w:rsid w:val="004A14E0"/>
    <w:rsid w:val="004B06DF"/>
    <w:rsid w:val="004B7BAF"/>
    <w:rsid w:val="004C3D97"/>
    <w:rsid w:val="004C6B82"/>
    <w:rsid w:val="004F5B6A"/>
    <w:rsid w:val="0050030C"/>
    <w:rsid w:val="00520560"/>
    <w:rsid w:val="00522B7F"/>
    <w:rsid w:val="00527305"/>
    <w:rsid w:val="00527F19"/>
    <w:rsid w:val="005529D7"/>
    <w:rsid w:val="00556D5A"/>
    <w:rsid w:val="00564E3C"/>
    <w:rsid w:val="00565B79"/>
    <w:rsid w:val="00565C34"/>
    <w:rsid w:val="00570C75"/>
    <w:rsid w:val="00574569"/>
    <w:rsid w:val="00577BA3"/>
    <w:rsid w:val="005922FF"/>
    <w:rsid w:val="00593B33"/>
    <w:rsid w:val="005B25F3"/>
    <w:rsid w:val="005E5696"/>
    <w:rsid w:val="005F0A0F"/>
    <w:rsid w:val="005F71B6"/>
    <w:rsid w:val="006018EA"/>
    <w:rsid w:val="006162C1"/>
    <w:rsid w:val="00635249"/>
    <w:rsid w:val="0066118C"/>
    <w:rsid w:val="00667942"/>
    <w:rsid w:val="00687601"/>
    <w:rsid w:val="00692D2B"/>
    <w:rsid w:val="006B1107"/>
    <w:rsid w:val="006C1A86"/>
    <w:rsid w:val="006C3720"/>
    <w:rsid w:val="006C3AA8"/>
    <w:rsid w:val="006E3F7E"/>
    <w:rsid w:val="006F03DB"/>
    <w:rsid w:val="006F6921"/>
    <w:rsid w:val="00701F0F"/>
    <w:rsid w:val="007025DA"/>
    <w:rsid w:val="00720069"/>
    <w:rsid w:val="00722067"/>
    <w:rsid w:val="00723622"/>
    <w:rsid w:val="007367B9"/>
    <w:rsid w:val="00736EFE"/>
    <w:rsid w:val="00737B46"/>
    <w:rsid w:val="007546A9"/>
    <w:rsid w:val="0075547D"/>
    <w:rsid w:val="007656D9"/>
    <w:rsid w:val="00766AEC"/>
    <w:rsid w:val="00767D2A"/>
    <w:rsid w:val="00776403"/>
    <w:rsid w:val="00787A7D"/>
    <w:rsid w:val="00791C86"/>
    <w:rsid w:val="00794A08"/>
    <w:rsid w:val="007D1171"/>
    <w:rsid w:val="007D34F0"/>
    <w:rsid w:val="007E6B64"/>
    <w:rsid w:val="007E744E"/>
    <w:rsid w:val="007F38A8"/>
    <w:rsid w:val="007F4B61"/>
    <w:rsid w:val="00803E0E"/>
    <w:rsid w:val="00813F24"/>
    <w:rsid w:val="00826F5C"/>
    <w:rsid w:val="0083012D"/>
    <w:rsid w:val="0085626F"/>
    <w:rsid w:val="00861A72"/>
    <w:rsid w:val="008657FA"/>
    <w:rsid w:val="0088424D"/>
    <w:rsid w:val="0088439A"/>
    <w:rsid w:val="00892F0E"/>
    <w:rsid w:val="008A32D6"/>
    <w:rsid w:val="008A633E"/>
    <w:rsid w:val="008B3559"/>
    <w:rsid w:val="008C0CEF"/>
    <w:rsid w:val="008C379E"/>
    <w:rsid w:val="008D0B23"/>
    <w:rsid w:val="008D3104"/>
    <w:rsid w:val="008D7BF2"/>
    <w:rsid w:val="008E1373"/>
    <w:rsid w:val="00901895"/>
    <w:rsid w:val="00910CDB"/>
    <w:rsid w:val="00911AC1"/>
    <w:rsid w:val="00926945"/>
    <w:rsid w:val="00931DE8"/>
    <w:rsid w:val="00937CE6"/>
    <w:rsid w:val="0094133D"/>
    <w:rsid w:val="00961E2A"/>
    <w:rsid w:val="00964D55"/>
    <w:rsid w:val="00964F9F"/>
    <w:rsid w:val="00974CC4"/>
    <w:rsid w:val="0097651C"/>
    <w:rsid w:val="00997EAF"/>
    <w:rsid w:val="009C4553"/>
    <w:rsid w:val="009D091B"/>
    <w:rsid w:val="009D2078"/>
    <w:rsid w:val="009D3E37"/>
    <w:rsid w:val="00A014EE"/>
    <w:rsid w:val="00A01B17"/>
    <w:rsid w:val="00A0400B"/>
    <w:rsid w:val="00A04492"/>
    <w:rsid w:val="00A27553"/>
    <w:rsid w:val="00A34BCB"/>
    <w:rsid w:val="00A352C3"/>
    <w:rsid w:val="00A36CDD"/>
    <w:rsid w:val="00A37D65"/>
    <w:rsid w:val="00A51C90"/>
    <w:rsid w:val="00A53034"/>
    <w:rsid w:val="00A551A8"/>
    <w:rsid w:val="00A57B3E"/>
    <w:rsid w:val="00A630D5"/>
    <w:rsid w:val="00A64564"/>
    <w:rsid w:val="00A72C32"/>
    <w:rsid w:val="00A76501"/>
    <w:rsid w:val="00A83150"/>
    <w:rsid w:val="00A9276C"/>
    <w:rsid w:val="00A92D79"/>
    <w:rsid w:val="00A95A50"/>
    <w:rsid w:val="00AA4951"/>
    <w:rsid w:val="00AB25AC"/>
    <w:rsid w:val="00AB708B"/>
    <w:rsid w:val="00AC2AA0"/>
    <w:rsid w:val="00AD0F20"/>
    <w:rsid w:val="00AD20C7"/>
    <w:rsid w:val="00AD4E4E"/>
    <w:rsid w:val="00AE15D0"/>
    <w:rsid w:val="00AE482F"/>
    <w:rsid w:val="00AF12D4"/>
    <w:rsid w:val="00AF565C"/>
    <w:rsid w:val="00AF619F"/>
    <w:rsid w:val="00AF738C"/>
    <w:rsid w:val="00B01A71"/>
    <w:rsid w:val="00B04848"/>
    <w:rsid w:val="00B242D5"/>
    <w:rsid w:val="00B270F2"/>
    <w:rsid w:val="00B4300D"/>
    <w:rsid w:val="00B50A0C"/>
    <w:rsid w:val="00B5516D"/>
    <w:rsid w:val="00B56DCE"/>
    <w:rsid w:val="00B6660A"/>
    <w:rsid w:val="00B709DA"/>
    <w:rsid w:val="00B7252C"/>
    <w:rsid w:val="00B73AE5"/>
    <w:rsid w:val="00B76C17"/>
    <w:rsid w:val="00B874AD"/>
    <w:rsid w:val="00B94C65"/>
    <w:rsid w:val="00B9570B"/>
    <w:rsid w:val="00B96005"/>
    <w:rsid w:val="00BA1081"/>
    <w:rsid w:val="00BB3D90"/>
    <w:rsid w:val="00BB4BFC"/>
    <w:rsid w:val="00BD2206"/>
    <w:rsid w:val="00BD583E"/>
    <w:rsid w:val="00BD6250"/>
    <w:rsid w:val="00BE3022"/>
    <w:rsid w:val="00BE33AA"/>
    <w:rsid w:val="00BF5237"/>
    <w:rsid w:val="00C00DC9"/>
    <w:rsid w:val="00C02B89"/>
    <w:rsid w:val="00C05A74"/>
    <w:rsid w:val="00C13202"/>
    <w:rsid w:val="00C1342F"/>
    <w:rsid w:val="00C14A39"/>
    <w:rsid w:val="00C349E8"/>
    <w:rsid w:val="00C40658"/>
    <w:rsid w:val="00C52188"/>
    <w:rsid w:val="00C53EC9"/>
    <w:rsid w:val="00C60217"/>
    <w:rsid w:val="00C610B7"/>
    <w:rsid w:val="00C93B78"/>
    <w:rsid w:val="00C94F47"/>
    <w:rsid w:val="00CA2AE0"/>
    <w:rsid w:val="00CA41F0"/>
    <w:rsid w:val="00CA5350"/>
    <w:rsid w:val="00CC75EB"/>
    <w:rsid w:val="00CD457F"/>
    <w:rsid w:val="00CD62EA"/>
    <w:rsid w:val="00CE2903"/>
    <w:rsid w:val="00CE6491"/>
    <w:rsid w:val="00CF11B2"/>
    <w:rsid w:val="00D06B71"/>
    <w:rsid w:val="00D30DE9"/>
    <w:rsid w:val="00D31BBD"/>
    <w:rsid w:val="00D50034"/>
    <w:rsid w:val="00D5092C"/>
    <w:rsid w:val="00D56907"/>
    <w:rsid w:val="00D579B9"/>
    <w:rsid w:val="00D84DF4"/>
    <w:rsid w:val="00D90429"/>
    <w:rsid w:val="00DA1073"/>
    <w:rsid w:val="00DA1B3E"/>
    <w:rsid w:val="00DA4991"/>
    <w:rsid w:val="00DB2499"/>
    <w:rsid w:val="00DD0663"/>
    <w:rsid w:val="00E06CB1"/>
    <w:rsid w:val="00E14A30"/>
    <w:rsid w:val="00E27278"/>
    <w:rsid w:val="00E318F8"/>
    <w:rsid w:val="00E3321D"/>
    <w:rsid w:val="00E37499"/>
    <w:rsid w:val="00E44C2C"/>
    <w:rsid w:val="00E63625"/>
    <w:rsid w:val="00E757E3"/>
    <w:rsid w:val="00E77A74"/>
    <w:rsid w:val="00E82940"/>
    <w:rsid w:val="00E86183"/>
    <w:rsid w:val="00EB6D51"/>
    <w:rsid w:val="00EC2472"/>
    <w:rsid w:val="00ED2FD2"/>
    <w:rsid w:val="00EF00A1"/>
    <w:rsid w:val="00F13CBF"/>
    <w:rsid w:val="00F41DAF"/>
    <w:rsid w:val="00F51DD4"/>
    <w:rsid w:val="00F54037"/>
    <w:rsid w:val="00F5702D"/>
    <w:rsid w:val="00F61C98"/>
    <w:rsid w:val="00F718B8"/>
    <w:rsid w:val="00F91C1B"/>
    <w:rsid w:val="00FA7E29"/>
    <w:rsid w:val="00FB0B62"/>
    <w:rsid w:val="00FC3D84"/>
    <w:rsid w:val="00FC703F"/>
    <w:rsid w:val="00FE1DBD"/>
    <w:rsid w:val="0A7AE7E0"/>
    <w:rsid w:val="0B88094F"/>
    <w:rsid w:val="12A44C26"/>
    <w:rsid w:val="13A0C5ED"/>
    <w:rsid w:val="1D30DC7A"/>
    <w:rsid w:val="4BFB03FF"/>
    <w:rsid w:val="744C7EA0"/>
    <w:rsid w:val="76E89206"/>
    <w:rsid w:val="7EFAF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E9E5"/>
  <w15:chartTrackingRefBased/>
  <w15:docId w15:val="{52A8812D-7625-8747-B092-F1AB61E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AD"/>
  </w:style>
  <w:style w:type="paragraph" w:styleId="Stopka">
    <w:name w:val="footer"/>
    <w:basedOn w:val="Normalny"/>
    <w:link w:val="StopkaZnak"/>
    <w:uiPriority w:val="99"/>
    <w:unhideWhenUsed/>
    <w:rsid w:val="0021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AD"/>
  </w:style>
  <w:style w:type="character" w:styleId="Hipercze">
    <w:name w:val="Hyperlink"/>
    <w:basedOn w:val="Domylnaczcionkaakapitu"/>
    <w:uiPriority w:val="99"/>
    <w:unhideWhenUsed/>
    <w:rsid w:val="00216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soni.org.pl/AO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18492</Characters>
  <Application>Microsoft Office Word</Application>
  <DocSecurity>0</DocSecurity>
  <Lines>154</Lines>
  <Paragraphs>43</Paragraphs>
  <ScaleCrop>false</ScaleCrop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Zawisny</dc:creator>
  <cp:keywords/>
  <dc:description/>
  <cp:lastModifiedBy>Rybak Aleksandra</cp:lastModifiedBy>
  <cp:revision>2</cp:revision>
  <dcterms:created xsi:type="dcterms:W3CDTF">2025-05-09T07:24:00Z</dcterms:created>
  <dcterms:modified xsi:type="dcterms:W3CDTF">2025-05-09T07:24:00Z</dcterms:modified>
</cp:coreProperties>
</file>